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252" w:rsidRDefault="00AD7252" w:rsidP="00AD7252">
      <w:pPr>
        <w:spacing w:before="106"/>
        <w:ind w:left="34" w:right="32"/>
        <w:jc w:val="center"/>
        <w:rPr>
          <w:rFonts w:ascii="Arial"/>
          <w:b/>
          <w:sz w:val="20"/>
        </w:rPr>
      </w:pPr>
      <w:r>
        <w:rPr>
          <w:rFonts w:ascii="Arial"/>
          <w:b/>
          <w:w w:val="105"/>
          <w:sz w:val="20"/>
        </w:rPr>
        <w:t>CASE 101</w:t>
      </w:r>
    </w:p>
    <w:p w:rsidR="00AD7252" w:rsidRDefault="00AD7252" w:rsidP="00AD7252">
      <w:pPr>
        <w:pStyle w:val="BodyText"/>
        <w:spacing w:before="9"/>
        <w:rPr>
          <w:rFonts w:ascii="Arial"/>
          <w:b/>
          <w:sz w:val="19"/>
        </w:rPr>
      </w:pPr>
    </w:p>
    <w:p w:rsidR="00AD7252" w:rsidRDefault="00AD7252" w:rsidP="00AD7252">
      <w:pPr>
        <w:ind w:left="35" w:right="32"/>
        <w:jc w:val="center"/>
        <w:rPr>
          <w:rFonts w:ascii="Arial"/>
          <w:b/>
          <w:sz w:val="32"/>
        </w:rPr>
      </w:pPr>
      <w:r>
        <w:rPr>
          <w:rFonts w:ascii="Arial"/>
          <w:b/>
          <w:sz w:val="32"/>
        </w:rPr>
        <w:t>The European Savings</w:t>
      </w:r>
      <w:r>
        <w:rPr>
          <w:rFonts w:ascii="Arial"/>
          <w:b/>
          <w:spacing w:val="-54"/>
          <w:sz w:val="32"/>
        </w:rPr>
        <w:t xml:space="preserve"> </w:t>
      </w:r>
      <w:r>
        <w:rPr>
          <w:rFonts w:ascii="Arial"/>
          <w:b/>
          <w:sz w:val="32"/>
        </w:rPr>
        <w:t>Bank</w:t>
      </w:r>
    </w:p>
    <w:p w:rsidR="00AD7252" w:rsidRDefault="00AD7252" w:rsidP="00AD7252">
      <w:pPr>
        <w:pStyle w:val="BodyText"/>
        <w:spacing w:before="233" w:line="254" w:lineRule="auto"/>
        <w:ind w:left="775" w:right="769"/>
        <w:jc w:val="both"/>
      </w:pPr>
      <w:r>
        <w:rPr>
          <w:w w:val="105"/>
        </w:rPr>
        <w:t xml:space="preserve">This case provides  a  unique  vehicle  for  covering  the  legal  issues  and  raising  the ethical awareness of students with regard to software piracy. The case allows students to apply ethical reasoning in a legal framework with which students  </w:t>
      </w:r>
      <w:r>
        <w:rPr>
          <w:spacing w:val="-2"/>
          <w:w w:val="105"/>
        </w:rPr>
        <w:t xml:space="preserve">may  </w:t>
      </w:r>
      <w:r>
        <w:rPr>
          <w:w w:val="105"/>
        </w:rPr>
        <w:t>not be completely familiar, but of which they are aware. This is  especially appropriate with today’s increased copyright awareness, with cases such as Napster taking</w:t>
      </w:r>
      <w:r>
        <w:rPr>
          <w:spacing w:val="-12"/>
          <w:w w:val="105"/>
        </w:rPr>
        <w:t xml:space="preserve"> </w:t>
      </w:r>
      <w:r>
        <w:rPr>
          <w:w w:val="105"/>
        </w:rPr>
        <w:t>over</w:t>
      </w:r>
      <w:r>
        <w:rPr>
          <w:spacing w:val="-11"/>
          <w:w w:val="105"/>
        </w:rPr>
        <w:t xml:space="preserve"> </w:t>
      </w:r>
      <w:r>
        <w:rPr>
          <w:w w:val="105"/>
        </w:rPr>
        <w:t>the</w:t>
      </w:r>
      <w:r>
        <w:rPr>
          <w:spacing w:val="-11"/>
          <w:w w:val="105"/>
        </w:rPr>
        <w:t xml:space="preserve"> </w:t>
      </w:r>
      <w:r>
        <w:rPr>
          <w:w w:val="105"/>
        </w:rPr>
        <w:t>news</w:t>
      </w:r>
      <w:r>
        <w:rPr>
          <w:spacing w:val="-12"/>
          <w:w w:val="105"/>
        </w:rPr>
        <w:t xml:space="preserve"> </w:t>
      </w:r>
      <w:r>
        <w:rPr>
          <w:w w:val="105"/>
        </w:rPr>
        <w:t>headlines.</w:t>
      </w:r>
    </w:p>
    <w:p w:rsidR="00AD7252" w:rsidRDefault="00AD7252" w:rsidP="00AD7252">
      <w:pPr>
        <w:pStyle w:val="BodyText"/>
        <w:spacing w:before="5"/>
        <w:rPr>
          <w:sz w:val="19"/>
        </w:rPr>
      </w:pPr>
    </w:p>
    <w:p w:rsidR="00AD7252" w:rsidRDefault="00AD7252" w:rsidP="00AD7252">
      <w:pPr>
        <w:pStyle w:val="BodyText"/>
        <w:spacing w:line="247" w:lineRule="auto"/>
        <w:ind w:left="779" w:right="767"/>
        <w:jc w:val="both"/>
      </w:pPr>
      <w:r>
        <w:rPr>
          <w:w w:val="105"/>
        </w:rPr>
        <w:t>The software case can also be used to discuss other ethical issues, such as unethical behaviour. The motivations include a compulsion to win, a fear about economic uncertainty and/or the future and self-esteem. If an act is legal, does that make it ethical? Conversely, if an act is ethical, should it be legal? Since software piracy behaviour is so prevalent despite its illegality, it is particularly suited to this issue. The various issues related to copying software provide robust discussions in the classroom. Before presenting the case, it is helpful to  present an overview of the  legal issues related to software piracy. This will  allow  students  to  have  an  adequate background for the  case  discussion  and  will also  highlight the variation in the rights granted to the licensees of different software packages. A comparison    of the laws and the licensing agreements points out how difficult it is always to adhere to legal constraints and introduces areas where ethical judgement enters the process.</w:t>
      </w:r>
    </w:p>
    <w:p w:rsidR="00AD7252" w:rsidRDefault="00AD7252" w:rsidP="00AD7252">
      <w:pPr>
        <w:pStyle w:val="BodyText"/>
        <w:spacing w:before="2"/>
        <w:rPr>
          <w:sz w:val="18"/>
        </w:rPr>
      </w:pPr>
    </w:p>
    <w:p w:rsidR="00AD7252" w:rsidRDefault="00AD7252" w:rsidP="00AD7252">
      <w:pPr>
        <w:pStyle w:val="Heading2"/>
      </w:pPr>
      <w:r>
        <w:t>Software piracy</w:t>
      </w:r>
    </w:p>
    <w:p w:rsidR="00AD7252" w:rsidRDefault="00AD7252" w:rsidP="00AD7252">
      <w:pPr>
        <w:pStyle w:val="BodyText"/>
        <w:spacing w:before="5"/>
        <w:rPr>
          <w:rFonts w:ascii="Arial"/>
          <w:b/>
        </w:rPr>
      </w:pPr>
    </w:p>
    <w:p w:rsidR="00AD7252" w:rsidRDefault="00AD7252" w:rsidP="00AD7252">
      <w:pPr>
        <w:pStyle w:val="Heading5"/>
      </w:pPr>
      <w:r>
        <w:rPr>
          <w:w w:val="105"/>
        </w:rPr>
        <w:t>Legal issues</w:t>
      </w:r>
    </w:p>
    <w:p w:rsidR="00AD7252" w:rsidRDefault="00AD7252" w:rsidP="00AD7252">
      <w:pPr>
        <w:pStyle w:val="BodyText"/>
        <w:spacing w:before="3"/>
        <w:rPr>
          <w:rFonts w:ascii="Arial"/>
          <w:b/>
          <w:i/>
        </w:rPr>
      </w:pPr>
    </w:p>
    <w:p w:rsidR="00AD7252" w:rsidRDefault="00AD7252" w:rsidP="00AD7252">
      <w:pPr>
        <w:pStyle w:val="BodyText"/>
        <w:spacing w:line="244" w:lineRule="auto"/>
        <w:ind w:left="779" w:right="764"/>
        <w:jc w:val="both"/>
      </w:pPr>
      <w:r>
        <w:rPr>
          <w:w w:val="105"/>
        </w:rPr>
        <w:t xml:space="preserve">The laws regarding copying software were not clear for many years. This changed when the US copyright protection  for  computer  software  altered. Software </w:t>
      </w:r>
      <w:r>
        <w:rPr>
          <w:spacing w:val="-5"/>
          <w:w w:val="105"/>
        </w:rPr>
        <w:t xml:space="preserve">became </w:t>
      </w:r>
      <w:r>
        <w:rPr>
          <w:w w:val="105"/>
        </w:rPr>
        <w:t>a literary work subject to copyright protection. Software is typically licensed rather than sold in an effort to control software piracy. Under the typical licensing agreement, the software is shrink wrapped with the agreement on the front – by opening the shrink-wrap, the end user automatically agrees to the details of the copyright agreement.</w:t>
      </w:r>
    </w:p>
    <w:p w:rsidR="00AD7252" w:rsidRDefault="00AD7252" w:rsidP="00AD7252">
      <w:pPr>
        <w:pStyle w:val="BodyText"/>
        <w:spacing w:before="4"/>
      </w:pPr>
    </w:p>
    <w:p w:rsidR="00AD7252" w:rsidRDefault="00AD7252" w:rsidP="00AD7252">
      <w:pPr>
        <w:pStyle w:val="Heading5"/>
      </w:pPr>
      <w:r>
        <w:rPr>
          <w:w w:val="105"/>
        </w:rPr>
        <w:t>Ethical aspects</w:t>
      </w:r>
    </w:p>
    <w:p w:rsidR="00AD7252" w:rsidRDefault="00AD7252" w:rsidP="00AD7252">
      <w:pPr>
        <w:pStyle w:val="BodyText"/>
        <w:spacing w:before="2"/>
        <w:rPr>
          <w:rFonts w:ascii="Arial"/>
          <w:b/>
          <w:i/>
        </w:rPr>
      </w:pPr>
    </w:p>
    <w:p w:rsidR="00AD7252" w:rsidRDefault="00AD7252" w:rsidP="00AD7252">
      <w:pPr>
        <w:pStyle w:val="BodyText"/>
        <w:spacing w:before="1" w:line="247" w:lineRule="auto"/>
        <w:ind w:left="779" w:right="767"/>
        <w:jc w:val="both"/>
      </w:pPr>
      <w:r>
        <w:rPr>
          <w:w w:val="105"/>
        </w:rPr>
        <w:t>Ethical</w:t>
      </w:r>
      <w:r>
        <w:rPr>
          <w:spacing w:val="-6"/>
          <w:w w:val="105"/>
        </w:rPr>
        <w:t xml:space="preserve"> </w:t>
      </w:r>
      <w:r>
        <w:rPr>
          <w:w w:val="105"/>
        </w:rPr>
        <w:t>behaviour</w:t>
      </w:r>
      <w:r>
        <w:rPr>
          <w:spacing w:val="-8"/>
          <w:w w:val="105"/>
        </w:rPr>
        <w:t xml:space="preserve"> </w:t>
      </w:r>
      <w:r>
        <w:rPr>
          <w:w w:val="105"/>
        </w:rPr>
        <w:t>considers</w:t>
      </w:r>
      <w:r>
        <w:rPr>
          <w:spacing w:val="-7"/>
          <w:w w:val="105"/>
        </w:rPr>
        <w:t xml:space="preserve"> </w:t>
      </w:r>
      <w:r>
        <w:rPr>
          <w:w w:val="105"/>
        </w:rPr>
        <w:t>the</w:t>
      </w:r>
      <w:r>
        <w:rPr>
          <w:spacing w:val="-6"/>
          <w:w w:val="105"/>
        </w:rPr>
        <w:t xml:space="preserve"> </w:t>
      </w:r>
      <w:r>
        <w:rPr>
          <w:w w:val="105"/>
        </w:rPr>
        <w:t>impact</w:t>
      </w:r>
      <w:r>
        <w:rPr>
          <w:spacing w:val="-5"/>
          <w:w w:val="105"/>
        </w:rPr>
        <w:t xml:space="preserve"> </w:t>
      </w:r>
      <w:r>
        <w:rPr>
          <w:w w:val="105"/>
        </w:rPr>
        <w:t>of</w:t>
      </w:r>
      <w:r>
        <w:rPr>
          <w:spacing w:val="-7"/>
          <w:w w:val="105"/>
        </w:rPr>
        <w:t xml:space="preserve"> </w:t>
      </w:r>
      <w:r>
        <w:rPr>
          <w:w w:val="105"/>
        </w:rPr>
        <w:t>our</w:t>
      </w:r>
      <w:r>
        <w:rPr>
          <w:spacing w:val="-4"/>
          <w:w w:val="105"/>
        </w:rPr>
        <w:t xml:space="preserve"> </w:t>
      </w:r>
      <w:r>
        <w:rPr>
          <w:w w:val="105"/>
        </w:rPr>
        <w:t>actions</w:t>
      </w:r>
      <w:r>
        <w:rPr>
          <w:spacing w:val="-7"/>
          <w:w w:val="105"/>
        </w:rPr>
        <w:t xml:space="preserve"> </w:t>
      </w:r>
      <w:r>
        <w:rPr>
          <w:w w:val="105"/>
        </w:rPr>
        <w:t>on</w:t>
      </w:r>
      <w:r>
        <w:rPr>
          <w:spacing w:val="-7"/>
          <w:w w:val="105"/>
        </w:rPr>
        <w:t xml:space="preserve"> </w:t>
      </w:r>
      <w:r>
        <w:rPr>
          <w:w w:val="105"/>
        </w:rPr>
        <w:t>others</w:t>
      </w:r>
      <w:r>
        <w:rPr>
          <w:spacing w:val="-8"/>
          <w:w w:val="105"/>
        </w:rPr>
        <w:t xml:space="preserve"> </w:t>
      </w:r>
      <w:r>
        <w:rPr>
          <w:w w:val="105"/>
        </w:rPr>
        <w:t>and</w:t>
      </w:r>
      <w:r>
        <w:rPr>
          <w:spacing w:val="-6"/>
          <w:w w:val="105"/>
        </w:rPr>
        <w:t xml:space="preserve"> </w:t>
      </w:r>
      <w:r>
        <w:rPr>
          <w:w w:val="105"/>
        </w:rPr>
        <w:t>society</w:t>
      </w:r>
      <w:r>
        <w:rPr>
          <w:spacing w:val="-3"/>
          <w:w w:val="105"/>
        </w:rPr>
        <w:t xml:space="preserve"> </w:t>
      </w:r>
      <w:r>
        <w:rPr>
          <w:w w:val="105"/>
        </w:rPr>
        <w:t>as</w:t>
      </w:r>
      <w:r>
        <w:rPr>
          <w:spacing w:val="-6"/>
          <w:w w:val="105"/>
        </w:rPr>
        <w:t xml:space="preserve"> </w:t>
      </w:r>
      <w:r>
        <w:rPr>
          <w:w w:val="105"/>
        </w:rPr>
        <w:t>a</w:t>
      </w:r>
      <w:r>
        <w:rPr>
          <w:spacing w:val="-8"/>
          <w:w w:val="105"/>
        </w:rPr>
        <w:t xml:space="preserve"> </w:t>
      </w:r>
      <w:r>
        <w:rPr>
          <w:w w:val="105"/>
        </w:rPr>
        <w:t>whole. Software piracy differs from other ethical issues because it is so widespread and prevalent in today’s society. The question, ‘If everyone does it,  then  surely  it’s OK?’ arises and this is further exacerbated by the muddle with  technology:  copyright regarding printed matter is fairly easy – only  one person can read a book  at any one time; with software, the issue becomes muddled – one person can use the same software on different computers in exactly the same way and if that person uses it</w:t>
      </w:r>
      <w:r>
        <w:rPr>
          <w:spacing w:val="-6"/>
          <w:w w:val="105"/>
        </w:rPr>
        <w:t xml:space="preserve"> </w:t>
      </w:r>
      <w:r>
        <w:rPr>
          <w:w w:val="105"/>
        </w:rPr>
        <w:t>on</w:t>
      </w:r>
      <w:r>
        <w:rPr>
          <w:spacing w:val="-6"/>
          <w:w w:val="105"/>
        </w:rPr>
        <w:t xml:space="preserve"> </w:t>
      </w:r>
      <w:r>
        <w:rPr>
          <w:w w:val="105"/>
        </w:rPr>
        <w:t>only</w:t>
      </w:r>
      <w:r>
        <w:rPr>
          <w:spacing w:val="-4"/>
          <w:w w:val="105"/>
        </w:rPr>
        <w:t xml:space="preserve"> </w:t>
      </w:r>
      <w:r>
        <w:rPr>
          <w:w w:val="105"/>
        </w:rPr>
        <w:t>one</w:t>
      </w:r>
      <w:r>
        <w:rPr>
          <w:spacing w:val="-5"/>
          <w:w w:val="105"/>
        </w:rPr>
        <w:t xml:space="preserve"> </w:t>
      </w:r>
      <w:r>
        <w:rPr>
          <w:w w:val="105"/>
        </w:rPr>
        <w:t>computer</w:t>
      </w:r>
      <w:r>
        <w:rPr>
          <w:spacing w:val="-6"/>
          <w:w w:val="105"/>
        </w:rPr>
        <w:t xml:space="preserve"> </w:t>
      </w:r>
      <w:r>
        <w:rPr>
          <w:w w:val="105"/>
        </w:rPr>
        <w:t>at</w:t>
      </w:r>
      <w:r>
        <w:rPr>
          <w:spacing w:val="-5"/>
          <w:w w:val="105"/>
        </w:rPr>
        <w:t xml:space="preserve"> </w:t>
      </w:r>
      <w:r>
        <w:rPr>
          <w:w w:val="105"/>
        </w:rPr>
        <w:t>a</w:t>
      </w:r>
      <w:r>
        <w:rPr>
          <w:spacing w:val="-6"/>
          <w:w w:val="105"/>
        </w:rPr>
        <w:t xml:space="preserve"> </w:t>
      </w:r>
      <w:r>
        <w:rPr>
          <w:w w:val="105"/>
        </w:rPr>
        <w:t>time,</w:t>
      </w:r>
      <w:r>
        <w:rPr>
          <w:spacing w:val="-6"/>
          <w:w w:val="105"/>
        </w:rPr>
        <w:t xml:space="preserve"> </w:t>
      </w:r>
      <w:r>
        <w:rPr>
          <w:w w:val="105"/>
        </w:rPr>
        <w:t>is</w:t>
      </w:r>
      <w:r>
        <w:rPr>
          <w:spacing w:val="-6"/>
          <w:w w:val="105"/>
        </w:rPr>
        <w:t xml:space="preserve"> </w:t>
      </w:r>
      <w:r>
        <w:rPr>
          <w:w w:val="105"/>
        </w:rPr>
        <w:t>it</w:t>
      </w:r>
      <w:r>
        <w:rPr>
          <w:spacing w:val="-5"/>
          <w:w w:val="105"/>
        </w:rPr>
        <w:t xml:space="preserve"> </w:t>
      </w:r>
      <w:r>
        <w:rPr>
          <w:w w:val="105"/>
        </w:rPr>
        <w:t>piracy?</w:t>
      </w:r>
    </w:p>
    <w:p w:rsidR="00AD7252" w:rsidRDefault="00AD7252" w:rsidP="00AD7252">
      <w:pPr>
        <w:widowControl/>
        <w:autoSpaceDE/>
        <w:autoSpaceDN/>
        <w:spacing w:line="247" w:lineRule="auto"/>
        <w:sectPr w:rsidR="00AD7252">
          <w:pgSz w:w="12240" w:h="15840"/>
          <w:pgMar w:top="1500" w:right="1720" w:bottom="1440" w:left="1720" w:header="0" w:footer="1255" w:gutter="0"/>
          <w:cols w:space="720"/>
        </w:sectPr>
      </w:pPr>
    </w:p>
    <w:p w:rsidR="00AD7252" w:rsidRDefault="00AD7252" w:rsidP="00AD7252">
      <w:pPr>
        <w:pStyle w:val="BodyText"/>
        <w:spacing w:before="11"/>
        <w:rPr>
          <w:sz w:val="21"/>
        </w:rPr>
      </w:pPr>
    </w:p>
    <w:p w:rsidR="00AD7252" w:rsidRDefault="00AD7252" w:rsidP="00AD7252">
      <w:pPr>
        <w:pStyle w:val="Heading5"/>
        <w:spacing w:before="99"/>
      </w:pPr>
      <w:r>
        <w:rPr>
          <w:w w:val="105"/>
        </w:rPr>
        <w:t>Discussion of roles</w:t>
      </w:r>
    </w:p>
    <w:p w:rsidR="00AD7252" w:rsidRDefault="00AD7252" w:rsidP="00AD7252">
      <w:pPr>
        <w:pStyle w:val="BodyText"/>
        <w:spacing w:before="195"/>
        <w:ind w:left="779"/>
        <w:jc w:val="both"/>
      </w:pPr>
      <w:r>
        <w:rPr>
          <w:w w:val="105"/>
        </w:rPr>
        <w:t>To facilitate the use of the case, each role is discussed separately.</w:t>
      </w:r>
    </w:p>
    <w:p w:rsidR="00AD7252" w:rsidRDefault="00AD7252" w:rsidP="00AD7252">
      <w:pPr>
        <w:pStyle w:val="Heading5"/>
        <w:spacing w:before="197"/>
      </w:pPr>
      <w:r>
        <w:rPr>
          <w:w w:val="105"/>
        </w:rPr>
        <w:t>Nick Stringham</w:t>
      </w:r>
    </w:p>
    <w:p w:rsidR="00AD7252" w:rsidRDefault="00AD7252" w:rsidP="00AD7252">
      <w:pPr>
        <w:pStyle w:val="BodyText"/>
        <w:spacing w:before="195" w:line="247" w:lineRule="auto"/>
        <w:ind w:left="779" w:right="765"/>
        <w:jc w:val="both"/>
      </w:pPr>
      <w:r>
        <w:rPr>
          <w:w w:val="105"/>
        </w:rPr>
        <w:t xml:space="preserve">The major reason for including Nick in the case  is  to force the students to identify the creation of software with a particular individual (i.e. to personalise the issue). By attaching the issue to a person, rather than just considering the  large  software vendor, students recognise that an individual has invested considerable time and money in the creation of the software. Nick’s fundamental concern or issue in the case is the fact that  the software he has created </w:t>
      </w:r>
      <w:r>
        <w:rPr>
          <w:i/>
          <w:w w:val="105"/>
        </w:rPr>
        <w:t xml:space="preserve">is </w:t>
      </w:r>
      <w:r>
        <w:rPr>
          <w:w w:val="105"/>
        </w:rPr>
        <w:t>being stolen. One topic that can    be discussed is what, if anything, he can do about his software being pirated. His actions may be limited because he has agreed to have Data Sources, SA, market his software.</w:t>
      </w:r>
    </w:p>
    <w:p w:rsidR="00AD7252" w:rsidRDefault="00AD7252" w:rsidP="00AD7252">
      <w:pPr>
        <w:pStyle w:val="Heading5"/>
        <w:spacing w:before="179"/>
      </w:pPr>
      <w:r>
        <w:rPr>
          <w:w w:val="105"/>
        </w:rPr>
        <w:t>Shelly Norduck</w:t>
      </w:r>
    </w:p>
    <w:p w:rsidR="00AD7252" w:rsidRDefault="00AD7252" w:rsidP="00AD7252">
      <w:pPr>
        <w:pStyle w:val="BodyText"/>
        <w:spacing w:before="4"/>
        <w:rPr>
          <w:rFonts w:ascii="Arial"/>
          <w:b/>
          <w:i/>
        </w:rPr>
      </w:pPr>
    </w:p>
    <w:p w:rsidR="00AD7252" w:rsidRDefault="00AD7252" w:rsidP="00AD7252">
      <w:pPr>
        <w:pStyle w:val="BodyText"/>
        <w:spacing w:line="244" w:lineRule="auto"/>
        <w:ind w:left="779" w:right="768"/>
        <w:jc w:val="both"/>
      </w:pPr>
      <w:r>
        <w:rPr>
          <w:w w:val="105"/>
        </w:rPr>
        <w:t>Shelly, as the representative of the software vendor, is mainly concerned with what  to do about the software piracy. Some people have argued that companies should encourage software piracy because anyone who uses it will subsequently want to purchase the package – this is a typical ploy of freeware companies. Some  options are reinstating copy protection, registration, encouraging whistle-blowing through incentives, hardware or software key and embedded user name and these are a useful starting point for</w:t>
      </w:r>
      <w:r>
        <w:rPr>
          <w:spacing w:val="-29"/>
          <w:w w:val="105"/>
        </w:rPr>
        <w:t xml:space="preserve"> </w:t>
      </w:r>
      <w:r>
        <w:rPr>
          <w:w w:val="105"/>
        </w:rPr>
        <w:t>discussion.</w:t>
      </w:r>
    </w:p>
    <w:p w:rsidR="00AD7252" w:rsidRDefault="00AD7252" w:rsidP="00AD7252">
      <w:pPr>
        <w:pStyle w:val="BodyText"/>
        <w:spacing w:before="3"/>
      </w:pPr>
    </w:p>
    <w:p w:rsidR="00AD7252" w:rsidRDefault="00AD7252" w:rsidP="00AD7252">
      <w:pPr>
        <w:pStyle w:val="Heading5"/>
        <w:spacing w:before="1"/>
      </w:pPr>
      <w:r>
        <w:rPr>
          <w:w w:val="105"/>
        </w:rPr>
        <w:t>Joe Fordham</w:t>
      </w:r>
    </w:p>
    <w:p w:rsidR="00AD7252" w:rsidRDefault="00AD7252" w:rsidP="00AD7252">
      <w:pPr>
        <w:pStyle w:val="BodyText"/>
        <w:spacing w:before="2"/>
        <w:rPr>
          <w:rFonts w:ascii="Arial"/>
          <w:b/>
          <w:i/>
        </w:rPr>
      </w:pPr>
    </w:p>
    <w:p w:rsidR="00AD7252" w:rsidRDefault="00AD7252" w:rsidP="00AD7252">
      <w:pPr>
        <w:pStyle w:val="BodyText"/>
        <w:spacing w:before="1" w:line="254" w:lineRule="auto"/>
        <w:ind w:left="775" w:right="771"/>
        <w:jc w:val="both"/>
      </w:pPr>
      <w:r>
        <w:rPr>
          <w:w w:val="105"/>
        </w:rPr>
        <w:t>Joe is the individual in this case who  faces the largest  dilemma:  what  decision is  he going to make regarding the software? He believes that the bank would benefit from a wider use of Loan Net, but he is unsure how to proceed.  One of the grey  areas often identified in the issue of software piracy occurs with work on multiple machines. As discussed before, would the use of multiple copies be a breach of the agreement?  Sometimes it is the case that the agreement is unclear thereby adding     to the confusion. The discussion of Joe’s dilemma should also include other possible courses of action. One alternative is for Joe to talk to Judy Wardley and support his case for purchasing more copies of the software. In addition, Joe should read the actual licensing agreement and talk to the software company to determine what right he has to make extra</w:t>
      </w:r>
      <w:r>
        <w:rPr>
          <w:spacing w:val="9"/>
          <w:w w:val="105"/>
        </w:rPr>
        <w:t xml:space="preserve"> </w:t>
      </w:r>
      <w:r>
        <w:rPr>
          <w:w w:val="105"/>
        </w:rPr>
        <w:t>copies.</w:t>
      </w:r>
    </w:p>
    <w:p w:rsidR="00AD7252" w:rsidRDefault="00AD7252" w:rsidP="00AD7252">
      <w:pPr>
        <w:pStyle w:val="BodyText"/>
        <w:spacing w:before="6"/>
        <w:rPr>
          <w:sz w:val="19"/>
        </w:rPr>
      </w:pPr>
    </w:p>
    <w:p w:rsidR="00AD7252" w:rsidRDefault="00AD7252" w:rsidP="00AD7252">
      <w:pPr>
        <w:pStyle w:val="Heading5"/>
      </w:pPr>
      <w:r>
        <w:rPr>
          <w:w w:val="105"/>
        </w:rPr>
        <w:t>Judy Wardley</w:t>
      </w:r>
    </w:p>
    <w:p w:rsidR="00AD7252" w:rsidRDefault="00AD7252" w:rsidP="00AD7252">
      <w:pPr>
        <w:pStyle w:val="BodyText"/>
        <w:spacing w:before="3"/>
        <w:rPr>
          <w:rFonts w:ascii="Arial"/>
          <w:b/>
          <w:i/>
        </w:rPr>
      </w:pPr>
    </w:p>
    <w:p w:rsidR="00AD7252" w:rsidRDefault="00AD7252" w:rsidP="00AD7252">
      <w:pPr>
        <w:pStyle w:val="BodyText"/>
        <w:spacing w:line="254" w:lineRule="auto"/>
        <w:ind w:left="775" w:right="769"/>
        <w:jc w:val="both"/>
      </w:pPr>
      <w:r>
        <w:rPr>
          <w:w w:val="105"/>
        </w:rPr>
        <w:t>Many companies will spend large amounts of money to collect data, but put that  same data at risk by using pirated software that is undocumented, unsupported and typically lacking in access to updates. One suggestion usually made by one of the students is that the bank examines the possibility of a site licence. A site licence  gives the purchaser the right to use the software on various computers located within a specific area. This is very typical of academic institutions, where IT-purchasing departments obtain licences to cover the  whole  organisation.  Another  important part of this discussion is Judy’s role as a representative of the company. The group can</w:t>
      </w:r>
      <w:r>
        <w:rPr>
          <w:spacing w:val="-2"/>
          <w:w w:val="105"/>
        </w:rPr>
        <w:t xml:space="preserve"> </w:t>
      </w:r>
      <w:r>
        <w:rPr>
          <w:w w:val="105"/>
        </w:rPr>
        <w:t>discuss</w:t>
      </w:r>
      <w:r>
        <w:rPr>
          <w:spacing w:val="-3"/>
          <w:w w:val="105"/>
        </w:rPr>
        <w:t xml:space="preserve"> </w:t>
      </w:r>
      <w:r>
        <w:rPr>
          <w:w w:val="105"/>
        </w:rPr>
        <w:t>the</w:t>
      </w:r>
      <w:r>
        <w:rPr>
          <w:spacing w:val="-4"/>
          <w:w w:val="105"/>
        </w:rPr>
        <w:t xml:space="preserve"> </w:t>
      </w:r>
      <w:r>
        <w:rPr>
          <w:w w:val="105"/>
        </w:rPr>
        <w:t>costs</w:t>
      </w:r>
      <w:r>
        <w:rPr>
          <w:spacing w:val="-5"/>
          <w:w w:val="105"/>
        </w:rPr>
        <w:t xml:space="preserve"> </w:t>
      </w:r>
      <w:r>
        <w:rPr>
          <w:w w:val="105"/>
        </w:rPr>
        <w:t>and</w:t>
      </w:r>
      <w:r>
        <w:rPr>
          <w:spacing w:val="-1"/>
          <w:w w:val="105"/>
        </w:rPr>
        <w:t xml:space="preserve"> </w:t>
      </w:r>
      <w:r>
        <w:rPr>
          <w:w w:val="105"/>
        </w:rPr>
        <w:t>merits</w:t>
      </w:r>
      <w:r>
        <w:rPr>
          <w:spacing w:val="-5"/>
          <w:w w:val="105"/>
        </w:rPr>
        <w:t xml:space="preserve"> </w:t>
      </w:r>
      <w:r>
        <w:rPr>
          <w:w w:val="105"/>
        </w:rPr>
        <w:t>of</w:t>
      </w:r>
      <w:r>
        <w:rPr>
          <w:spacing w:val="-4"/>
          <w:w w:val="105"/>
        </w:rPr>
        <w:t xml:space="preserve"> </w:t>
      </w:r>
      <w:r>
        <w:rPr>
          <w:w w:val="105"/>
        </w:rPr>
        <w:t>establishing</w:t>
      </w:r>
      <w:r>
        <w:rPr>
          <w:spacing w:val="-4"/>
          <w:w w:val="105"/>
        </w:rPr>
        <w:t xml:space="preserve"> </w:t>
      </w:r>
      <w:r>
        <w:rPr>
          <w:w w:val="105"/>
        </w:rPr>
        <w:t>a</w:t>
      </w:r>
      <w:r>
        <w:rPr>
          <w:spacing w:val="-1"/>
          <w:w w:val="105"/>
        </w:rPr>
        <w:t xml:space="preserve"> </w:t>
      </w:r>
      <w:r>
        <w:rPr>
          <w:w w:val="105"/>
        </w:rPr>
        <w:t>clear</w:t>
      </w:r>
      <w:r>
        <w:rPr>
          <w:spacing w:val="-4"/>
          <w:w w:val="105"/>
        </w:rPr>
        <w:t xml:space="preserve"> </w:t>
      </w:r>
      <w:r>
        <w:rPr>
          <w:w w:val="105"/>
        </w:rPr>
        <w:t>policy</w:t>
      </w:r>
      <w:r>
        <w:rPr>
          <w:spacing w:val="3"/>
          <w:w w:val="105"/>
        </w:rPr>
        <w:t xml:space="preserve"> </w:t>
      </w:r>
      <w:r>
        <w:rPr>
          <w:w w:val="105"/>
        </w:rPr>
        <w:t>regarding</w:t>
      </w:r>
      <w:r>
        <w:rPr>
          <w:spacing w:val="-4"/>
          <w:w w:val="105"/>
        </w:rPr>
        <w:t xml:space="preserve"> </w:t>
      </w:r>
      <w:r>
        <w:rPr>
          <w:w w:val="105"/>
        </w:rPr>
        <w:t>the</w:t>
      </w:r>
      <w:r>
        <w:rPr>
          <w:spacing w:val="-4"/>
          <w:w w:val="105"/>
        </w:rPr>
        <w:t xml:space="preserve"> </w:t>
      </w:r>
      <w:r>
        <w:rPr>
          <w:w w:val="105"/>
        </w:rPr>
        <w:t>copying</w:t>
      </w:r>
      <w:r>
        <w:rPr>
          <w:spacing w:val="-4"/>
          <w:w w:val="105"/>
        </w:rPr>
        <w:t xml:space="preserve"> </w:t>
      </w:r>
      <w:r>
        <w:rPr>
          <w:w w:val="105"/>
        </w:rPr>
        <w:t>of software.</w:t>
      </w:r>
    </w:p>
    <w:p w:rsidR="00AD7252" w:rsidRDefault="00AD7252" w:rsidP="00AD7252">
      <w:pPr>
        <w:widowControl/>
        <w:autoSpaceDE/>
        <w:autoSpaceDN/>
        <w:spacing w:line="254" w:lineRule="auto"/>
        <w:sectPr w:rsidR="00AD7252">
          <w:pgSz w:w="12240" w:h="15840"/>
          <w:pgMar w:top="1240" w:right="1720" w:bottom="1440" w:left="1720" w:header="1056" w:footer="1255" w:gutter="0"/>
          <w:cols w:space="720"/>
        </w:sectPr>
      </w:pPr>
    </w:p>
    <w:p w:rsidR="00AD7252" w:rsidRDefault="00AD7252" w:rsidP="00AD7252">
      <w:pPr>
        <w:pStyle w:val="BodyText"/>
        <w:spacing w:before="11"/>
        <w:rPr>
          <w:sz w:val="21"/>
        </w:rPr>
      </w:pPr>
    </w:p>
    <w:p w:rsidR="00AD7252" w:rsidRDefault="00AD7252" w:rsidP="00AD7252">
      <w:pPr>
        <w:pStyle w:val="Heading5"/>
        <w:spacing w:before="99"/>
      </w:pPr>
      <w:r>
        <w:rPr>
          <w:w w:val="105"/>
        </w:rPr>
        <w:t>Dave Saunders</w:t>
      </w:r>
    </w:p>
    <w:p w:rsidR="00AD7252" w:rsidRDefault="00AD7252" w:rsidP="00AD7252">
      <w:pPr>
        <w:pStyle w:val="BodyText"/>
        <w:spacing w:before="3"/>
        <w:rPr>
          <w:rFonts w:ascii="Arial"/>
          <w:b/>
          <w:i/>
        </w:rPr>
      </w:pPr>
    </w:p>
    <w:p w:rsidR="00AD7252" w:rsidRDefault="00AD7252" w:rsidP="00AD7252">
      <w:pPr>
        <w:pStyle w:val="BodyText"/>
        <w:spacing w:line="254" w:lineRule="auto"/>
        <w:ind w:left="775" w:right="769"/>
        <w:jc w:val="both"/>
      </w:pPr>
      <w:r>
        <w:rPr>
          <w:w w:val="105"/>
        </w:rPr>
        <w:t>Software piracy has become so prevalent that some argue it has almost become socially acceptable,  despite the fact that it is illegal behaviour. Dave,  as CEO of    the bank, should recognise the potential costs that software piracy can cause his company. The other serious issue facing Dave is the ethical tone established by top management. One area that Dave should have responsibility for is maintaining a policy on ethical behaviour, including software piracy. How should managers  respond when they become aware of unethical or illegal behaviour? This issue can give rise to discussions relating to the actions of those in top management as well     as their proposed</w:t>
      </w:r>
      <w:r>
        <w:rPr>
          <w:spacing w:val="37"/>
          <w:w w:val="105"/>
        </w:rPr>
        <w:t xml:space="preserve"> </w:t>
      </w:r>
      <w:r>
        <w:rPr>
          <w:w w:val="105"/>
        </w:rPr>
        <w:t>policies.</w:t>
      </w:r>
    </w:p>
    <w:p w:rsidR="00AD7252" w:rsidRDefault="00AD7252" w:rsidP="00AD7252">
      <w:pPr>
        <w:pStyle w:val="BodyText"/>
        <w:spacing w:before="8"/>
        <w:rPr>
          <w:sz w:val="19"/>
        </w:rPr>
      </w:pPr>
    </w:p>
    <w:p w:rsidR="00AD7252" w:rsidRDefault="00AD7252" w:rsidP="00AD7252">
      <w:pPr>
        <w:pStyle w:val="Heading5"/>
      </w:pPr>
      <w:r>
        <w:rPr>
          <w:w w:val="105"/>
        </w:rPr>
        <w:t>Society</w:t>
      </w:r>
    </w:p>
    <w:p w:rsidR="00AD7252" w:rsidRDefault="00AD7252" w:rsidP="00AD7252">
      <w:pPr>
        <w:pStyle w:val="BodyText"/>
        <w:spacing w:before="3"/>
        <w:rPr>
          <w:rFonts w:ascii="Arial"/>
          <w:b/>
          <w:i/>
        </w:rPr>
      </w:pPr>
    </w:p>
    <w:p w:rsidR="00AD7252" w:rsidRDefault="00AD7252" w:rsidP="00AD7252">
      <w:pPr>
        <w:pStyle w:val="BodyText"/>
        <w:spacing w:line="254" w:lineRule="auto"/>
        <w:ind w:left="775" w:right="768"/>
        <w:jc w:val="both"/>
      </w:pPr>
      <w:r>
        <w:rPr>
          <w:w w:val="105"/>
        </w:rPr>
        <w:t>Some people argue that unauthorised copying of software has  a  cost  to  society while others, following the ‘hacker ethic’, would argue that piracy results in the free sharing of information. Those who adhere to the hacker ethic argue that all software should be in the public domain, since this encourages the free flow of information. They argue that this will result in a greater benefit to society as a whole since more learning and growth will occur. Software is copyrighted to protect the intellectual rights of the developers. The underlying rationale for copyrights is that they will foster the sharing and growth of knowledge. If copyrights are not observed, the potential</w:t>
      </w:r>
      <w:r>
        <w:rPr>
          <w:spacing w:val="-11"/>
          <w:w w:val="105"/>
        </w:rPr>
        <w:t xml:space="preserve"> </w:t>
      </w:r>
      <w:r>
        <w:rPr>
          <w:w w:val="105"/>
        </w:rPr>
        <w:t>developer</w:t>
      </w:r>
      <w:r>
        <w:rPr>
          <w:spacing w:val="-8"/>
          <w:w w:val="105"/>
        </w:rPr>
        <w:t xml:space="preserve"> </w:t>
      </w:r>
      <w:r>
        <w:rPr>
          <w:w w:val="105"/>
        </w:rPr>
        <w:t>may</w:t>
      </w:r>
      <w:r>
        <w:rPr>
          <w:spacing w:val="-7"/>
          <w:w w:val="105"/>
        </w:rPr>
        <w:t xml:space="preserve"> </w:t>
      </w:r>
      <w:r>
        <w:rPr>
          <w:w w:val="105"/>
        </w:rPr>
        <w:t>well</w:t>
      </w:r>
      <w:r>
        <w:rPr>
          <w:spacing w:val="-10"/>
          <w:w w:val="105"/>
        </w:rPr>
        <w:t xml:space="preserve"> </w:t>
      </w:r>
      <w:r>
        <w:rPr>
          <w:w w:val="105"/>
        </w:rPr>
        <w:t>choose</w:t>
      </w:r>
      <w:r>
        <w:rPr>
          <w:spacing w:val="-10"/>
          <w:w w:val="105"/>
        </w:rPr>
        <w:t xml:space="preserve"> </w:t>
      </w:r>
      <w:r>
        <w:rPr>
          <w:w w:val="105"/>
        </w:rPr>
        <w:t>to</w:t>
      </w:r>
      <w:r>
        <w:rPr>
          <w:spacing w:val="-9"/>
          <w:w w:val="105"/>
        </w:rPr>
        <w:t xml:space="preserve"> </w:t>
      </w:r>
      <w:r>
        <w:rPr>
          <w:w w:val="105"/>
        </w:rPr>
        <w:t>work</w:t>
      </w:r>
      <w:r>
        <w:rPr>
          <w:spacing w:val="-11"/>
          <w:w w:val="105"/>
        </w:rPr>
        <w:t xml:space="preserve"> </w:t>
      </w:r>
      <w:r>
        <w:rPr>
          <w:w w:val="105"/>
        </w:rPr>
        <w:t>in</w:t>
      </w:r>
      <w:r>
        <w:rPr>
          <w:spacing w:val="-10"/>
          <w:w w:val="105"/>
        </w:rPr>
        <w:t xml:space="preserve"> </w:t>
      </w:r>
      <w:r>
        <w:rPr>
          <w:w w:val="105"/>
        </w:rPr>
        <w:t>another</w:t>
      </w:r>
      <w:r>
        <w:rPr>
          <w:spacing w:val="-9"/>
          <w:w w:val="105"/>
        </w:rPr>
        <w:t xml:space="preserve"> </w:t>
      </w:r>
      <w:r>
        <w:rPr>
          <w:w w:val="105"/>
        </w:rPr>
        <w:t>area.</w:t>
      </w:r>
    </w:p>
    <w:p w:rsidR="00AD7252" w:rsidRDefault="00AD7252" w:rsidP="00AD7252">
      <w:pPr>
        <w:widowControl/>
        <w:autoSpaceDE/>
        <w:autoSpaceDN/>
        <w:spacing w:line="254" w:lineRule="auto"/>
        <w:sectPr w:rsidR="00AD7252">
          <w:pgSz w:w="12240" w:h="15840"/>
          <w:pgMar w:top="1240" w:right="1720" w:bottom="1440" w:left="1720" w:header="1056" w:footer="1255" w:gutter="0"/>
          <w:cols w:space="720"/>
        </w:sectPr>
      </w:pPr>
    </w:p>
    <w:p w:rsidR="00AD7252" w:rsidRDefault="00AD7252" w:rsidP="00AD7252">
      <w:pPr>
        <w:pStyle w:val="BodyText"/>
        <w:rPr>
          <w:sz w:val="11"/>
        </w:rPr>
      </w:pPr>
      <w:r>
        <w:rPr>
          <w:noProof/>
          <w:lang w:bidi="ar-SA"/>
        </w:rPr>
        <w:lastRenderedPageBreak/>
        <mc:AlternateContent>
          <mc:Choice Requires="wps">
            <w:drawing>
              <wp:anchor distT="0" distB="0" distL="114300" distR="114300" simplePos="0" relativeHeight="251659264" behindDoc="0" locked="0" layoutInCell="1" allowOverlap="1">
                <wp:simplePos x="0" y="0"/>
                <wp:positionH relativeFrom="page">
                  <wp:posOffset>2310130</wp:posOffset>
                </wp:positionH>
                <wp:positionV relativeFrom="page">
                  <wp:posOffset>597535</wp:posOffset>
                </wp:positionV>
                <wp:extent cx="3589655" cy="296545"/>
                <wp:effectExtent l="0" t="0" r="0" b="127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9655"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F4ECBA" id="Rectangle 5" o:spid="_x0000_s1026" style="position:absolute;margin-left:181.9pt;margin-top:47.05pt;width:282.65pt;height:23.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" stroked="f">
                <w10:wrap anchorx="page" anchory="page"/>
              </v:rect>
            </w:pict>
          </mc:Fallback>
        </mc:AlternateContent>
      </w:r>
      <w:r>
        <w:rPr>
          <w:noProof/>
          <w:lang w:bidi="ar-SA"/>
        </w:rPr>
        <mc:AlternateContent>
          <mc:Choice Requires="wps">
            <w:drawing>
              <wp:anchor distT="0" distB="0" distL="114300" distR="114300" simplePos="0" relativeHeight="251660288" behindDoc="1" locked="0" layoutInCell="1" allowOverlap="1">
                <wp:simplePos x="0" y="0"/>
                <wp:positionH relativeFrom="page">
                  <wp:posOffset>2458720</wp:posOffset>
                </wp:positionH>
                <wp:positionV relativeFrom="page">
                  <wp:posOffset>629920</wp:posOffset>
                </wp:positionV>
                <wp:extent cx="3017520" cy="114300"/>
                <wp:effectExtent l="1270" t="1270" r="63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7252" w:rsidRDefault="00AD7252" w:rsidP="00AD7252">
                            <w:pPr>
                              <w:spacing w:line="179" w:lineRule="exact"/>
                              <w:rPr>
                                <w:rFonts w:ascii="Arial" w:hAnsi="Arial"/>
                                <w:sz w:val="16"/>
                              </w:rPr>
                            </w:pPr>
                            <w:r>
                              <w:rPr>
                                <w:rFonts w:ascii="Arial" w:hAnsi="Arial"/>
                                <w:sz w:val="16"/>
                              </w:rPr>
                              <w:t>Bhimani,</w:t>
                            </w:r>
                            <w:r>
                              <w:rPr>
                                <w:rFonts w:ascii="Arial" w:hAnsi="Arial"/>
                                <w:spacing w:val="-15"/>
                                <w:sz w:val="16"/>
                              </w:rPr>
                              <w:t xml:space="preserve"> </w:t>
                            </w:r>
                            <w:r>
                              <w:rPr>
                                <w:rFonts w:ascii="Arial" w:hAnsi="Arial"/>
                                <w:i/>
                                <w:sz w:val="16"/>
                              </w:rPr>
                              <w:t>Management</w:t>
                            </w:r>
                            <w:r>
                              <w:rPr>
                                <w:rFonts w:ascii="Arial" w:hAnsi="Arial"/>
                                <w:i/>
                                <w:spacing w:val="-15"/>
                                <w:sz w:val="16"/>
                              </w:rPr>
                              <w:t xml:space="preserve"> </w:t>
                            </w:r>
                            <w:r>
                              <w:rPr>
                                <w:rFonts w:ascii="Arial" w:hAnsi="Arial"/>
                                <w:i/>
                                <w:sz w:val="16"/>
                              </w:rPr>
                              <w:t>and</w:t>
                            </w:r>
                            <w:r>
                              <w:rPr>
                                <w:rFonts w:ascii="Arial" w:hAnsi="Arial"/>
                                <w:i/>
                                <w:spacing w:val="-15"/>
                                <w:sz w:val="16"/>
                              </w:rPr>
                              <w:t xml:space="preserve"> </w:t>
                            </w:r>
                            <w:r>
                              <w:rPr>
                                <w:rFonts w:ascii="Arial" w:hAnsi="Arial"/>
                                <w:i/>
                                <w:sz w:val="16"/>
                              </w:rPr>
                              <w:t>Cost</w:t>
                            </w:r>
                            <w:r>
                              <w:rPr>
                                <w:rFonts w:ascii="Arial" w:hAnsi="Arial"/>
                                <w:i/>
                                <w:spacing w:val="-16"/>
                                <w:sz w:val="16"/>
                              </w:rPr>
                              <w:t xml:space="preserve"> </w:t>
                            </w:r>
                            <w:r>
                              <w:rPr>
                                <w:rFonts w:ascii="Arial" w:hAnsi="Arial"/>
                                <w:i/>
                                <w:sz w:val="16"/>
                              </w:rPr>
                              <w:t>Accounting</w:t>
                            </w:r>
                            <w:r>
                              <w:rPr>
                                <w:rFonts w:ascii="Arial" w:hAnsi="Arial"/>
                                <w:sz w:val="16"/>
                              </w:rPr>
                              <w:t>,</w:t>
                            </w:r>
                            <w:r>
                              <w:rPr>
                                <w:rFonts w:ascii="Arial" w:hAnsi="Arial"/>
                                <w:spacing w:val="-14"/>
                                <w:sz w:val="16"/>
                              </w:rPr>
                              <w:t xml:space="preserve"> </w:t>
                            </w:r>
                            <w:r>
                              <w:rPr>
                                <w:rFonts w:ascii="Arial" w:hAnsi="Arial"/>
                                <w:sz w:val="16"/>
                              </w:rPr>
                              <w:t>6e,</w:t>
                            </w:r>
                            <w:r>
                              <w:rPr>
                                <w:rFonts w:ascii="Arial" w:hAnsi="Arial"/>
                                <w:spacing w:val="-14"/>
                                <w:sz w:val="16"/>
                              </w:rPr>
                              <w:t xml:space="preserve"> </w:t>
                            </w:r>
                            <w:r>
                              <w:rPr>
                                <w:rFonts w:ascii="Arial" w:hAnsi="Arial"/>
                                <w:sz w:val="16"/>
                              </w:rPr>
                              <w:t>Instructor’s</w:t>
                            </w:r>
                            <w:r>
                              <w:rPr>
                                <w:rFonts w:ascii="Arial" w:hAnsi="Arial"/>
                                <w:spacing w:val="-13"/>
                                <w:sz w:val="16"/>
                              </w:rPr>
                              <w:t xml:space="preserve"> </w:t>
                            </w:r>
                            <w:r>
                              <w:rPr>
                                <w:rFonts w:ascii="Arial" w:hAnsi="Arial"/>
                                <w:sz w:val="16"/>
                              </w:rPr>
                              <w:t>Manual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93.6pt;margin-top:49.6pt;width:237.6pt;height: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" filled="f" stroked="f">
                <v:textbox inset="0,0,0,0">
                  <w:txbxContent>
                    <w:p w:rsidR="00AD7252" w:rsidRDefault="00AD7252" w:rsidP="00AD7252">
                      <w:pPr>
                        <w:spacing w:line="179" w:lineRule="exact"/>
                        <w:rPr>
                          <w:rFonts w:ascii="Arial" w:hAnsi="Arial"/>
                          <w:sz w:val="16"/>
                        </w:rPr>
                      </w:pPr>
                      <w:r>
                        <w:rPr>
                          <w:rFonts w:ascii="Arial" w:hAnsi="Arial"/>
                          <w:sz w:val="16"/>
                        </w:rPr>
                        <w:t>Bhimani,</w:t>
                      </w:r>
                      <w:r>
                        <w:rPr>
                          <w:rFonts w:ascii="Arial" w:hAnsi="Arial"/>
                          <w:spacing w:val="-15"/>
                          <w:sz w:val="16"/>
                        </w:rPr>
                        <w:t xml:space="preserve"> </w:t>
                      </w:r>
                      <w:r>
                        <w:rPr>
                          <w:rFonts w:ascii="Arial" w:hAnsi="Arial"/>
                          <w:i/>
                          <w:sz w:val="16"/>
                        </w:rPr>
                        <w:t>Management</w:t>
                      </w:r>
                      <w:r>
                        <w:rPr>
                          <w:rFonts w:ascii="Arial" w:hAnsi="Arial"/>
                          <w:i/>
                          <w:spacing w:val="-15"/>
                          <w:sz w:val="16"/>
                        </w:rPr>
                        <w:t xml:space="preserve"> </w:t>
                      </w:r>
                      <w:r>
                        <w:rPr>
                          <w:rFonts w:ascii="Arial" w:hAnsi="Arial"/>
                          <w:i/>
                          <w:sz w:val="16"/>
                        </w:rPr>
                        <w:t>and</w:t>
                      </w:r>
                      <w:r>
                        <w:rPr>
                          <w:rFonts w:ascii="Arial" w:hAnsi="Arial"/>
                          <w:i/>
                          <w:spacing w:val="-15"/>
                          <w:sz w:val="16"/>
                        </w:rPr>
                        <w:t xml:space="preserve"> </w:t>
                      </w:r>
                      <w:r>
                        <w:rPr>
                          <w:rFonts w:ascii="Arial" w:hAnsi="Arial"/>
                          <w:i/>
                          <w:sz w:val="16"/>
                        </w:rPr>
                        <w:t>Cost</w:t>
                      </w:r>
                      <w:r>
                        <w:rPr>
                          <w:rFonts w:ascii="Arial" w:hAnsi="Arial"/>
                          <w:i/>
                          <w:spacing w:val="-16"/>
                          <w:sz w:val="16"/>
                        </w:rPr>
                        <w:t xml:space="preserve"> </w:t>
                      </w:r>
                      <w:r>
                        <w:rPr>
                          <w:rFonts w:ascii="Arial" w:hAnsi="Arial"/>
                          <w:i/>
                          <w:sz w:val="16"/>
                        </w:rPr>
                        <w:t>Accounting</w:t>
                      </w:r>
                      <w:r>
                        <w:rPr>
                          <w:rFonts w:ascii="Arial" w:hAnsi="Arial"/>
                          <w:sz w:val="16"/>
                        </w:rPr>
                        <w:t>,</w:t>
                      </w:r>
                      <w:r>
                        <w:rPr>
                          <w:rFonts w:ascii="Arial" w:hAnsi="Arial"/>
                          <w:spacing w:val="-14"/>
                          <w:sz w:val="16"/>
                        </w:rPr>
                        <w:t xml:space="preserve"> </w:t>
                      </w:r>
                      <w:r>
                        <w:rPr>
                          <w:rFonts w:ascii="Arial" w:hAnsi="Arial"/>
                          <w:sz w:val="16"/>
                        </w:rPr>
                        <w:t>6e,</w:t>
                      </w:r>
                      <w:r>
                        <w:rPr>
                          <w:rFonts w:ascii="Arial" w:hAnsi="Arial"/>
                          <w:spacing w:val="-14"/>
                          <w:sz w:val="16"/>
                        </w:rPr>
                        <w:t xml:space="preserve"> </w:t>
                      </w:r>
                      <w:r>
                        <w:rPr>
                          <w:rFonts w:ascii="Arial" w:hAnsi="Arial"/>
                          <w:sz w:val="16"/>
                        </w:rPr>
                        <w:t>Instructor’s</w:t>
                      </w:r>
                      <w:r>
                        <w:rPr>
                          <w:rFonts w:ascii="Arial" w:hAnsi="Arial"/>
                          <w:spacing w:val="-13"/>
                          <w:sz w:val="16"/>
                        </w:rPr>
                        <w:t xml:space="preserve"> </w:t>
                      </w:r>
                      <w:r>
                        <w:rPr>
                          <w:rFonts w:ascii="Arial" w:hAnsi="Arial"/>
                          <w:sz w:val="16"/>
                        </w:rPr>
                        <w:t>Manual</w:t>
                      </w:r>
                    </w:p>
                  </w:txbxContent>
                </v:textbox>
                <w10:wrap anchorx="page" anchory="page"/>
              </v:shape>
            </w:pict>
          </mc:Fallback>
        </mc:AlternateContent>
      </w:r>
    </w:p>
    <w:p w:rsidR="00AD7252" w:rsidRDefault="00AD7252" w:rsidP="00AD7252">
      <w:pPr>
        <w:pStyle w:val="Heading1"/>
        <w:spacing w:before="89"/>
        <w:ind w:left="37"/>
      </w:pPr>
      <w:r>
        <w:t>The ethical dilemma at Northlake</w:t>
      </w:r>
    </w:p>
    <w:p w:rsidR="00AD7252" w:rsidRDefault="00AD7252" w:rsidP="00AD7252">
      <w:pPr>
        <w:pStyle w:val="BodyText"/>
        <w:spacing w:before="232" w:line="247" w:lineRule="auto"/>
        <w:ind w:left="779" w:right="393"/>
        <w:jc w:val="both"/>
      </w:pPr>
      <w:r>
        <w:rPr>
          <w:w w:val="105"/>
        </w:rPr>
        <w:t>The case assumes no technical knowledge of management accounting. It is aimed at introducing ‘ethical’ questions, which accountants often face. The following could be useful in guiding class discussion:</w:t>
      </w:r>
    </w:p>
    <w:p w:rsidR="00AD7252" w:rsidRDefault="00AD7252" w:rsidP="00AD7252">
      <w:pPr>
        <w:pStyle w:val="BodyText"/>
        <w:spacing w:before="4"/>
        <w:rPr>
          <w:sz w:val="19"/>
        </w:rPr>
      </w:pPr>
    </w:p>
    <w:p w:rsidR="00AD7252" w:rsidRDefault="00AD7252" w:rsidP="00AD7252">
      <w:pPr>
        <w:pStyle w:val="ListParagraph"/>
        <w:numPr>
          <w:ilvl w:val="0"/>
          <w:numId w:val="1"/>
        </w:numPr>
        <w:tabs>
          <w:tab w:val="left" w:pos="1079"/>
        </w:tabs>
        <w:spacing w:before="1" w:line="244" w:lineRule="auto"/>
        <w:ind w:right="393"/>
        <w:jc w:val="both"/>
        <w:rPr>
          <w:sz w:val="20"/>
        </w:rPr>
      </w:pPr>
      <w:r>
        <w:rPr>
          <w:w w:val="105"/>
          <w:sz w:val="20"/>
        </w:rPr>
        <w:t>Can professional ‘Standards of Ethical Conduct’ for management accountants help resolve the dilemma? (These could include ‘professional pillars’ such as Competence, Confidentiality, Objectivity and Integrity, established by the Institute of Management Accountants in the United States of</w:t>
      </w:r>
      <w:r>
        <w:rPr>
          <w:spacing w:val="-9"/>
          <w:w w:val="105"/>
          <w:sz w:val="20"/>
        </w:rPr>
        <w:t xml:space="preserve"> </w:t>
      </w:r>
      <w:r>
        <w:rPr>
          <w:w w:val="105"/>
          <w:sz w:val="20"/>
        </w:rPr>
        <w:t>America.)</w:t>
      </w:r>
    </w:p>
    <w:p w:rsidR="00AD7252" w:rsidRDefault="00AD7252" w:rsidP="00AD7252">
      <w:pPr>
        <w:pStyle w:val="BodyText"/>
        <w:spacing w:before="9"/>
        <w:rPr>
          <w:sz w:val="19"/>
        </w:rPr>
      </w:pPr>
    </w:p>
    <w:p w:rsidR="00AD7252" w:rsidRDefault="00AD7252" w:rsidP="00AD7252">
      <w:pPr>
        <w:pStyle w:val="ListParagraph"/>
        <w:numPr>
          <w:ilvl w:val="0"/>
          <w:numId w:val="1"/>
        </w:numPr>
        <w:tabs>
          <w:tab w:val="left" w:pos="1079"/>
        </w:tabs>
        <w:spacing w:before="1"/>
        <w:ind w:hanging="341"/>
        <w:rPr>
          <w:sz w:val="20"/>
        </w:rPr>
      </w:pPr>
      <w:r>
        <w:rPr>
          <w:w w:val="105"/>
          <w:sz w:val="20"/>
        </w:rPr>
        <w:t>Is</w:t>
      </w:r>
      <w:r>
        <w:rPr>
          <w:spacing w:val="-13"/>
          <w:w w:val="105"/>
          <w:sz w:val="20"/>
        </w:rPr>
        <w:t xml:space="preserve"> </w:t>
      </w:r>
      <w:r>
        <w:rPr>
          <w:w w:val="105"/>
          <w:sz w:val="20"/>
        </w:rPr>
        <w:t>a</w:t>
      </w:r>
      <w:r>
        <w:rPr>
          <w:spacing w:val="-12"/>
          <w:w w:val="105"/>
          <w:sz w:val="20"/>
        </w:rPr>
        <w:t xml:space="preserve"> </w:t>
      </w:r>
      <w:r>
        <w:rPr>
          <w:w w:val="105"/>
          <w:sz w:val="20"/>
        </w:rPr>
        <w:t>‘Hippocratic</w:t>
      </w:r>
      <w:r>
        <w:rPr>
          <w:spacing w:val="-11"/>
          <w:w w:val="105"/>
          <w:sz w:val="20"/>
        </w:rPr>
        <w:t xml:space="preserve"> </w:t>
      </w:r>
      <w:r>
        <w:rPr>
          <w:w w:val="105"/>
          <w:sz w:val="20"/>
        </w:rPr>
        <w:t>Oath’</w:t>
      </w:r>
      <w:r>
        <w:rPr>
          <w:spacing w:val="-10"/>
          <w:w w:val="105"/>
          <w:sz w:val="20"/>
        </w:rPr>
        <w:t xml:space="preserve"> </w:t>
      </w:r>
      <w:r>
        <w:rPr>
          <w:w w:val="105"/>
          <w:sz w:val="20"/>
        </w:rPr>
        <w:t>appropriate</w:t>
      </w:r>
      <w:r>
        <w:rPr>
          <w:spacing w:val="-14"/>
          <w:w w:val="105"/>
          <w:sz w:val="20"/>
        </w:rPr>
        <w:t xml:space="preserve"> </w:t>
      </w:r>
      <w:r>
        <w:rPr>
          <w:w w:val="105"/>
          <w:sz w:val="20"/>
        </w:rPr>
        <w:t>for</w:t>
      </w:r>
      <w:r>
        <w:rPr>
          <w:spacing w:val="-11"/>
          <w:w w:val="105"/>
          <w:sz w:val="20"/>
        </w:rPr>
        <w:t xml:space="preserve"> </w:t>
      </w:r>
      <w:r>
        <w:rPr>
          <w:w w:val="105"/>
          <w:sz w:val="20"/>
        </w:rPr>
        <w:t>the</w:t>
      </w:r>
      <w:r>
        <w:rPr>
          <w:spacing w:val="-10"/>
          <w:w w:val="105"/>
          <w:sz w:val="20"/>
        </w:rPr>
        <w:t xml:space="preserve"> </w:t>
      </w:r>
      <w:r>
        <w:rPr>
          <w:w w:val="105"/>
          <w:sz w:val="20"/>
        </w:rPr>
        <w:t>management</w:t>
      </w:r>
      <w:r>
        <w:rPr>
          <w:spacing w:val="-11"/>
          <w:w w:val="105"/>
          <w:sz w:val="20"/>
        </w:rPr>
        <w:t xml:space="preserve"> </w:t>
      </w:r>
      <w:r>
        <w:rPr>
          <w:w w:val="105"/>
          <w:sz w:val="20"/>
        </w:rPr>
        <w:t>accounting</w:t>
      </w:r>
      <w:r>
        <w:rPr>
          <w:spacing w:val="-12"/>
          <w:w w:val="105"/>
          <w:sz w:val="20"/>
        </w:rPr>
        <w:t xml:space="preserve"> </w:t>
      </w:r>
      <w:r>
        <w:rPr>
          <w:w w:val="105"/>
          <w:sz w:val="20"/>
        </w:rPr>
        <w:t>professional?</w:t>
      </w:r>
    </w:p>
    <w:p w:rsidR="00AD7252" w:rsidRDefault="00AD7252" w:rsidP="00AD7252">
      <w:pPr>
        <w:pStyle w:val="ListParagraph"/>
        <w:numPr>
          <w:ilvl w:val="0"/>
          <w:numId w:val="1"/>
        </w:numPr>
        <w:tabs>
          <w:tab w:val="left" w:pos="1079"/>
        </w:tabs>
        <w:spacing w:before="233" w:line="244" w:lineRule="auto"/>
        <w:ind w:right="395"/>
        <w:jc w:val="both"/>
        <w:rPr>
          <w:sz w:val="20"/>
        </w:rPr>
      </w:pPr>
      <w:r>
        <w:rPr>
          <w:w w:val="105"/>
          <w:sz w:val="20"/>
        </w:rPr>
        <w:t>There are no ‘SSAPs’ in management accounting. Should matters of ethics be universally</w:t>
      </w:r>
      <w:r>
        <w:rPr>
          <w:spacing w:val="1"/>
          <w:w w:val="105"/>
          <w:sz w:val="20"/>
        </w:rPr>
        <w:t xml:space="preserve"> </w:t>
      </w:r>
      <w:r>
        <w:rPr>
          <w:w w:val="105"/>
          <w:sz w:val="20"/>
        </w:rPr>
        <w:t>prescribed</w:t>
      </w:r>
      <w:r>
        <w:rPr>
          <w:spacing w:val="-25"/>
          <w:w w:val="105"/>
          <w:sz w:val="20"/>
        </w:rPr>
        <w:t xml:space="preserve"> </w:t>
      </w:r>
      <w:r>
        <w:rPr>
          <w:w w:val="105"/>
          <w:sz w:val="20"/>
        </w:rPr>
        <w:t>to</w:t>
      </w:r>
      <w:r>
        <w:rPr>
          <w:spacing w:val="-24"/>
          <w:w w:val="105"/>
          <w:sz w:val="20"/>
        </w:rPr>
        <w:t xml:space="preserve"> </w:t>
      </w:r>
      <w:r>
        <w:rPr>
          <w:w w:val="105"/>
          <w:sz w:val="20"/>
        </w:rPr>
        <w:t>management</w:t>
      </w:r>
      <w:r>
        <w:rPr>
          <w:spacing w:val="-23"/>
          <w:w w:val="105"/>
          <w:sz w:val="20"/>
        </w:rPr>
        <w:t xml:space="preserve"> </w:t>
      </w:r>
      <w:r>
        <w:rPr>
          <w:w w:val="105"/>
          <w:sz w:val="20"/>
        </w:rPr>
        <w:t>accountants?</w:t>
      </w:r>
    </w:p>
    <w:p w:rsidR="00AD7252" w:rsidRDefault="00AD7252" w:rsidP="00AD7252">
      <w:pPr>
        <w:pStyle w:val="BodyText"/>
        <w:spacing w:before="10"/>
        <w:rPr>
          <w:sz w:val="19"/>
        </w:rPr>
      </w:pPr>
    </w:p>
    <w:p w:rsidR="00AD7252" w:rsidRDefault="00AD7252" w:rsidP="00AD7252">
      <w:pPr>
        <w:pStyle w:val="ListParagraph"/>
        <w:numPr>
          <w:ilvl w:val="0"/>
          <w:numId w:val="1"/>
        </w:numPr>
        <w:tabs>
          <w:tab w:val="left" w:pos="1079"/>
        </w:tabs>
        <w:spacing w:line="244" w:lineRule="auto"/>
        <w:ind w:right="398"/>
        <w:jc w:val="both"/>
        <w:rPr>
          <w:sz w:val="20"/>
        </w:rPr>
      </w:pPr>
      <w:r>
        <w:rPr>
          <w:w w:val="105"/>
          <w:sz w:val="20"/>
        </w:rPr>
        <w:t>Is ‘whistle-blowing’ justified in this case? Should Frank obtain more  accounting facts? What should he</w:t>
      </w:r>
      <w:r>
        <w:rPr>
          <w:spacing w:val="-29"/>
          <w:w w:val="105"/>
          <w:sz w:val="20"/>
        </w:rPr>
        <w:t xml:space="preserve"> </w:t>
      </w:r>
      <w:r>
        <w:rPr>
          <w:w w:val="105"/>
          <w:sz w:val="20"/>
        </w:rPr>
        <w:t>do?</w:t>
      </w:r>
    </w:p>
    <w:p w:rsidR="00AD7252" w:rsidRDefault="00AD7252" w:rsidP="00AD7252">
      <w:pPr>
        <w:pStyle w:val="BodyText"/>
        <w:spacing w:before="9"/>
        <w:rPr>
          <w:sz w:val="19"/>
        </w:rPr>
      </w:pPr>
    </w:p>
    <w:p w:rsidR="00AD7252" w:rsidRDefault="00AD7252" w:rsidP="00AD7252">
      <w:pPr>
        <w:pStyle w:val="ListParagraph"/>
        <w:numPr>
          <w:ilvl w:val="0"/>
          <w:numId w:val="1"/>
        </w:numPr>
        <w:tabs>
          <w:tab w:val="left" w:pos="1073"/>
        </w:tabs>
        <w:spacing w:line="244" w:lineRule="auto"/>
        <w:ind w:left="1072" w:right="395" w:hanging="336"/>
        <w:jc w:val="both"/>
        <w:rPr>
          <w:sz w:val="20"/>
        </w:rPr>
      </w:pPr>
      <w:r>
        <w:rPr>
          <w:w w:val="105"/>
          <w:sz w:val="20"/>
        </w:rPr>
        <w:t>Responses of Canadian management accountants to the dilemma are given  in the  table</w:t>
      </w:r>
      <w:r>
        <w:rPr>
          <w:spacing w:val="6"/>
          <w:w w:val="105"/>
          <w:sz w:val="20"/>
        </w:rPr>
        <w:t xml:space="preserve"> </w:t>
      </w:r>
      <w:r>
        <w:rPr>
          <w:w w:val="105"/>
          <w:sz w:val="20"/>
        </w:rPr>
        <w:t>below.</w:t>
      </w:r>
      <w:r>
        <w:rPr>
          <w:spacing w:val="-8"/>
          <w:w w:val="105"/>
          <w:sz w:val="20"/>
        </w:rPr>
        <w:t xml:space="preserve"> </w:t>
      </w:r>
      <w:r>
        <w:rPr>
          <w:w w:val="105"/>
          <w:sz w:val="20"/>
        </w:rPr>
        <w:t>You</w:t>
      </w:r>
      <w:r>
        <w:rPr>
          <w:spacing w:val="-8"/>
          <w:w w:val="105"/>
          <w:sz w:val="20"/>
        </w:rPr>
        <w:t xml:space="preserve"> </w:t>
      </w:r>
      <w:r>
        <w:rPr>
          <w:w w:val="105"/>
          <w:sz w:val="20"/>
        </w:rPr>
        <w:t>may</w:t>
      </w:r>
      <w:r>
        <w:rPr>
          <w:spacing w:val="-3"/>
          <w:w w:val="105"/>
          <w:sz w:val="20"/>
        </w:rPr>
        <w:t xml:space="preserve"> </w:t>
      </w:r>
      <w:r>
        <w:rPr>
          <w:w w:val="105"/>
          <w:sz w:val="20"/>
        </w:rPr>
        <w:t>wish</w:t>
      </w:r>
      <w:r>
        <w:rPr>
          <w:spacing w:val="-9"/>
          <w:w w:val="105"/>
          <w:sz w:val="20"/>
        </w:rPr>
        <w:t xml:space="preserve"> </w:t>
      </w:r>
      <w:r>
        <w:rPr>
          <w:w w:val="105"/>
          <w:sz w:val="20"/>
        </w:rPr>
        <w:t>to</w:t>
      </w:r>
      <w:r>
        <w:rPr>
          <w:spacing w:val="-6"/>
          <w:w w:val="105"/>
          <w:sz w:val="20"/>
        </w:rPr>
        <w:t xml:space="preserve"> </w:t>
      </w:r>
      <w:r>
        <w:rPr>
          <w:w w:val="105"/>
          <w:sz w:val="20"/>
        </w:rPr>
        <w:t>compare</w:t>
      </w:r>
      <w:r>
        <w:rPr>
          <w:spacing w:val="-9"/>
          <w:w w:val="105"/>
          <w:sz w:val="20"/>
        </w:rPr>
        <w:t xml:space="preserve"> </w:t>
      </w:r>
      <w:r>
        <w:rPr>
          <w:w w:val="105"/>
          <w:sz w:val="20"/>
        </w:rPr>
        <w:t>these</w:t>
      </w:r>
      <w:r>
        <w:rPr>
          <w:spacing w:val="-5"/>
          <w:w w:val="105"/>
          <w:sz w:val="20"/>
        </w:rPr>
        <w:t xml:space="preserve"> </w:t>
      </w:r>
      <w:r>
        <w:rPr>
          <w:w w:val="105"/>
          <w:sz w:val="20"/>
        </w:rPr>
        <w:t>with</w:t>
      </w:r>
      <w:r>
        <w:rPr>
          <w:spacing w:val="-10"/>
          <w:w w:val="105"/>
          <w:sz w:val="20"/>
        </w:rPr>
        <w:t xml:space="preserve"> </w:t>
      </w:r>
      <w:r>
        <w:rPr>
          <w:w w:val="105"/>
          <w:sz w:val="20"/>
        </w:rPr>
        <w:t>your</w:t>
      </w:r>
      <w:r>
        <w:rPr>
          <w:spacing w:val="-7"/>
          <w:w w:val="105"/>
          <w:sz w:val="20"/>
        </w:rPr>
        <w:t xml:space="preserve"> </w:t>
      </w:r>
      <w:r>
        <w:rPr>
          <w:w w:val="105"/>
          <w:sz w:val="20"/>
        </w:rPr>
        <w:t>students’</w:t>
      </w:r>
      <w:r>
        <w:rPr>
          <w:spacing w:val="-5"/>
          <w:w w:val="105"/>
          <w:sz w:val="20"/>
        </w:rPr>
        <w:t xml:space="preserve"> </w:t>
      </w:r>
      <w:r>
        <w:rPr>
          <w:w w:val="105"/>
          <w:sz w:val="20"/>
        </w:rPr>
        <w:t>reactions.</w:t>
      </w:r>
    </w:p>
    <w:p w:rsidR="00AD7252" w:rsidRDefault="00AD7252" w:rsidP="00AD7252">
      <w:pPr>
        <w:pStyle w:val="BodyText"/>
        <w:spacing w:before="3"/>
        <w:rPr>
          <w:sz w:val="18"/>
        </w:rPr>
      </w:pPr>
      <w:r>
        <w:rPr>
          <w:noProof/>
          <w:lang w:bidi="ar-SA"/>
        </w:rPr>
        <mc:AlternateContent>
          <mc:Choice Requires="wps">
            <w:drawing>
              <wp:anchor distT="0" distB="0" distL="0" distR="0" simplePos="0" relativeHeight="251661312" behindDoc="1" locked="0" layoutInCell="1" allowOverlap="1">
                <wp:simplePos x="0" y="0"/>
                <wp:positionH relativeFrom="page">
                  <wp:posOffset>1600835</wp:posOffset>
                </wp:positionH>
                <wp:positionV relativeFrom="paragraph">
                  <wp:posOffset>161925</wp:posOffset>
                </wp:positionV>
                <wp:extent cx="4404360" cy="0"/>
                <wp:effectExtent l="10160" t="9525" r="5080" b="9525"/>
                <wp:wrapTopAndBottom/>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043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92997E" id="Straight Connector 3"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6.05pt,12.75pt" to="472.8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fuFHAIAADYEAAAOAAAAZHJzL2Uyb0RvYy54bWysU8GO2jAQvVfqP1i+QxJIKU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" strokeweight=".48pt">
                <w10:wrap type="topAndBottom" anchorx="page"/>
              </v:line>
            </w:pict>
          </mc:Fallback>
        </mc:AlternateContent>
      </w:r>
    </w:p>
    <w:p w:rsidR="00AD7252" w:rsidRDefault="00AD7252" w:rsidP="00AD7252">
      <w:pPr>
        <w:tabs>
          <w:tab w:val="left" w:pos="2909"/>
          <w:tab w:val="left" w:pos="4299"/>
          <w:tab w:val="left" w:pos="5505"/>
        </w:tabs>
        <w:spacing w:before="23" w:after="57"/>
        <w:ind w:right="32"/>
        <w:jc w:val="center"/>
        <w:rPr>
          <w:rFonts w:ascii="Arial"/>
          <w:b/>
          <w:sz w:val="19"/>
        </w:rPr>
      </w:pPr>
      <w:r>
        <w:rPr>
          <w:rFonts w:ascii="Arial"/>
          <w:b/>
          <w:spacing w:val="-4"/>
          <w:sz w:val="19"/>
        </w:rPr>
        <w:t>Level</w:t>
      </w:r>
      <w:r>
        <w:rPr>
          <w:rFonts w:ascii="Arial"/>
          <w:b/>
          <w:spacing w:val="-3"/>
          <w:sz w:val="19"/>
        </w:rPr>
        <w:t xml:space="preserve"> </w:t>
      </w:r>
      <w:r>
        <w:rPr>
          <w:rFonts w:ascii="Arial"/>
          <w:b/>
          <w:sz w:val="19"/>
        </w:rPr>
        <w:t>of</w:t>
      </w:r>
      <w:r>
        <w:rPr>
          <w:rFonts w:ascii="Arial"/>
          <w:b/>
          <w:spacing w:val="-5"/>
          <w:sz w:val="19"/>
        </w:rPr>
        <w:t xml:space="preserve"> </w:t>
      </w:r>
      <w:r>
        <w:rPr>
          <w:rFonts w:ascii="Arial"/>
          <w:b/>
          <w:spacing w:val="-3"/>
          <w:sz w:val="19"/>
        </w:rPr>
        <w:t>management</w:t>
      </w:r>
      <w:r>
        <w:rPr>
          <w:rFonts w:ascii="Arial"/>
          <w:b/>
          <w:spacing w:val="-3"/>
          <w:sz w:val="19"/>
        </w:rPr>
        <w:tab/>
        <w:t>Junior</w:t>
      </w:r>
      <w:r>
        <w:rPr>
          <w:rFonts w:ascii="Arial"/>
          <w:b/>
          <w:spacing w:val="-3"/>
          <w:sz w:val="19"/>
        </w:rPr>
        <w:tab/>
      </w:r>
      <w:r>
        <w:rPr>
          <w:rFonts w:ascii="Arial"/>
          <w:b/>
          <w:sz w:val="19"/>
        </w:rPr>
        <w:t>Middle</w:t>
      </w:r>
      <w:r>
        <w:rPr>
          <w:rFonts w:ascii="Arial"/>
          <w:b/>
          <w:sz w:val="19"/>
        </w:rPr>
        <w:tab/>
      </w:r>
      <w:r>
        <w:rPr>
          <w:rFonts w:ascii="Arial"/>
          <w:b/>
          <w:spacing w:val="-3"/>
          <w:sz w:val="19"/>
        </w:rPr>
        <w:t>Senior</w:t>
      </w:r>
    </w:p>
    <w:p w:rsidR="00AD7252" w:rsidRDefault="00AD7252" w:rsidP="00AD7252">
      <w:pPr>
        <w:pStyle w:val="BodyText"/>
        <w:spacing w:line="20" w:lineRule="exact"/>
        <w:ind w:left="796"/>
        <w:rPr>
          <w:rFonts w:ascii="Arial"/>
          <w:sz w:val="2"/>
        </w:rPr>
      </w:pPr>
      <w:r>
        <w:rPr>
          <w:rFonts w:ascii="Arial"/>
          <w:noProof/>
          <w:sz w:val="2"/>
          <w:lang w:bidi="ar-SA"/>
        </w:rPr>
        <mc:AlternateContent>
          <mc:Choice Requires="wpg">
            <w:drawing>
              <wp:inline distT="0" distB="0" distL="0" distR="0">
                <wp:extent cx="4404360" cy="6350"/>
                <wp:effectExtent l="9525" t="9525" r="5715" b="317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04360" cy="6350"/>
                          <a:chOff x="0" y="0"/>
                          <a:chExt cx="6936" cy="10"/>
                        </a:xfrm>
                      </wpg:grpSpPr>
                      <wps:wsp>
                        <wps:cNvPr id="2" name="Line 3"/>
                        <wps:cNvCnPr>
                          <a:cxnSpLocks noChangeShapeType="1"/>
                        </wps:cNvCnPr>
                        <wps:spPr bwMode="auto">
                          <a:xfrm>
                            <a:off x="0" y="5"/>
                            <a:ext cx="693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3812E97" id="Group 1" o:spid="_x0000_s1026" style="width:346.8pt;height:.5pt;mso-position-horizontal-relative:char;mso-position-vertical-relative:line" coordsize="693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">
                <v:line id="Line 3" o:spid="_x0000_s1027" style="position:absolute;visibility:visible;mso-wrap-style:square" from="0,5" to="69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" strokeweight=".48pt"/>
                <w10:anchorlock/>
              </v:group>
            </w:pict>
          </mc:Fallback>
        </mc:AlternateContent>
      </w:r>
    </w:p>
    <w:p w:rsidR="00AD7252" w:rsidRDefault="00AD7252" w:rsidP="00AD7252">
      <w:pPr>
        <w:pStyle w:val="ListParagraph"/>
        <w:numPr>
          <w:ilvl w:val="0"/>
          <w:numId w:val="2"/>
        </w:numPr>
        <w:tabs>
          <w:tab w:val="left" w:pos="1442"/>
        </w:tabs>
        <w:spacing w:before="44"/>
        <w:rPr>
          <w:rFonts w:ascii="Arial"/>
          <w:sz w:val="19"/>
        </w:rPr>
      </w:pPr>
      <w:r>
        <w:rPr>
          <w:rFonts w:ascii="Arial"/>
          <w:sz w:val="19"/>
        </w:rPr>
        <w:t>Sources</w:t>
      </w:r>
      <w:r>
        <w:rPr>
          <w:rFonts w:ascii="Arial"/>
          <w:spacing w:val="-9"/>
          <w:sz w:val="19"/>
        </w:rPr>
        <w:t xml:space="preserve"> </w:t>
      </w:r>
      <w:r>
        <w:rPr>
          <w:rFonts w:ascii="Arial"/>
          <w:sz w:val="19"/>
        </w:rPr>
        <w:t>of</w:t>
      </w:r>
      <w:r>
        <w:rPr>
          <w:rFonts w:ascii="Arial"/>
          <w:spacing w:val="-7"/>
          <w:sz w:val="19"/>
        </w:rPr>
        <w:t xml:space="preserve"> </w:t>
      </w:r>
      <w:r>
        <w:rPr>
          <w:rFonts w:ascii="Arial"/>
          <w:sz w:val="19"/>
        </w:rPr>
        <w:t>counsel</w:t>
      </w:r>
      <w:r>
        <w:rPr>
          <w:rFonts w:ascii="Arial"/>
          <w:spacing w:val="-9"/>
          <w:sz w:val="19"/>
        </w:rPr>
        <w:t xml:space="preserve"> </w:t>
      </w:r>
      <w:r>
        <w:rPr>
          <w:rFonts w:ascii="Arial"/>
          <w:sz w:val="19"/>
        </w:rPr>
        <w:t>regarding</w:t>
      </w:r>
      <w:r>
        <w:rPr>
          <w:rFonts w:ascii="Arial"/>
          <w:spacing w:val="-10"/>
          <w:sz w:val="19"/>
        </w:rPr>
        <w:t xml:space="preserve"> </w:t>
      </w:r>
      <w:r>
        <w:rPr>
          <w:rFonts w:ascii="Arial"/>
          <w:sz w:val="19"/>
        </w:rPr>
        <w:t>the</w:t>
      </w:r>
      <w:r>
        <w:rPr>
          <w:rFonts w:ascii="Arial"/>
          <w:spacing w:val="-11"/>
          <w:sz w:val="19"/>
        </w:rPr>
        <w:t xml:space="preserve"> </w:t>
      </w:r>
      <w:r>
        <w:rPr>
          <w:rFonts w:ascii="Arial"/>
          <w:sz w:val="19"/>
        </w:rPr>
        <w:t>dilemma:</w:t>
      </w:r>
    </w:p>
    <w:p w:rsidR="00AD7252" w:rsidRDefault="00AD7252" w:rsidP="00AD7252">
      <w:pPr>
        <w:pStyle w:val="BodyText"/>
        <w:spacing w:before="2"/>
        <w:rPr>
          <w:rFonts w:ascii="Arial"/>
          <w:sz w:val="10"/>
        </w:rPr>
      </w:pPr>
    </w:p>
    <w:tbl>
      <w:tblPr>
        <w:tblW w:w="0" w:type="auto"/>
        <w:tblInd w:w="795" w:type="dxa"/>
        <w:tblLayout w:type="fixed"/>
        <w:tblCellMar>
          <w:left w:w="0" w:type="dxa"/>
          <w:right w:w="0" w:type="dxa"/>
        </w:tblCellMar>
        <w:tblLook w:val="01E0" w:firstRow="1" w:lastRow="1" w:firstColumn="1" w:lastColumn="1" w:noHBand="0" w:noVBand="0"/>
      </w:tblPr>
      <w:tblGrid>
        <w:gridCol w:w="3375"/>
        <w:gridCol w:w="1020"/>
        <w:gridCol w:w="1302"/>
        <w:gridCol w:w="1253"/>
      </w:tblGrid>
      <w:tr w:rsidR="00AD7252" w:rsidTr="00AD7252">
        <w:trPr>
          <w:trHeight w:val="274"/>
        </w:trPr>
        <w:tc>
          <w:tcPr>
            <w:tcW w:w="3375" w:type="dxa"/>
            <w:hideMark/>
          </w:tcPr>
          <w:p w:rsidR="00AD7252" w:rsidRDefault="00AD7252">
            <w:pPr>
              <w:pStyle w:val="TableParagraph"/>
              <w:spacing w:line="211" w:lineRule="exact"/>
              <w:ind w:left="349"/>
              <w:rPr>
                <w:sz w:val="19"/>
              </w:rPr>
            </w:pPr>
            <w:r>
              <w:rPr>
                <w:sz w:val="19"/>
              </w:rPr>
              <w:t>Him/herself</w:t>
            </w:r>
          </w:p>
        </w:tc>
        <w:tc>
          <w:tcPr>
            <w:tcW w:w="1020" w:type="dxa"/>
            <w:hideMark/>
          </w:tcPr>
          <w:p w:rsidR="00AD7252" w:rsidRDefault="00AD7252">
            <w:pPr>
              <w:pStyle w:val="TableParagraph"/>
              <w:spacing w:line="211" w:lineRule="exact"/>
              <w:ind w:right="483"/>
              <w:jc w:val="right"/>
              <w:rPr>
                <w:sz w:val="19"/>
              </w:rPr>
            </w:pPr>
            <w:r>
              <w:rPr>
                <w:w w:val="95"/>
                <w:sz w:val="19"/>
              </w:rPr>
              <w:t>9%</w:t>
            </w:r>
          </w:p>
        </w:tc>
        <w:tc>
          <w:tcPr>
            <w:tcW w:w="1302" w:type="dxa"/>
            <w:hideMark/>
          </w:tcPr>
          <w:p w:rsidR="00AD7252" w:rsidRDefault="00AD7252">
            <w:pPr>
              <w:pStyle w:val="TableParagraph"/>
              <w:spacing w:line="211" w:lineRule="exact"/>
              <w:ind w:left="455" w:right="323"/>
              <w:jc w:val="center"/>
              <w:rPr>
                <w:sz w:val="19"/>
              </w:rPr>
            </w:pPr>
            <w:r>
              <w:rPr>
                <w:sz w:val="19"/>
              </w:rPr>
              <w:t>9%</w:t>
            </w:r>
          </w:p>
        </w:tc>
        <w:tc>
          <w:tcPr>
            <w:tcW w:w="1253" w:type="dxa"/>
            <w:hideMark/>
          </w:tcPr>
          <w:p w:rsidR="00AD7252" w:rsidRDefault="00AD7252">
            <w:pPr>
              <w:pStyle w:val="TableParagraph"/>
              <w:spacing w:line="211" w:lineRule="exact"/>
              <w:ind w:right="434"/>
              <w:jc w:val="right"/>
              <w:rPr>
                <w:sz w:val="19"/>
              </w:rPr>
            </w:pPr>
            <w:r>
              <w:rPr>
                <w:w w:val="95"/>
                <w:sz w:val="19"/>
              </w:rPr>
              <w:t>11%</w:t>
            </w:r>
          </w:p>
        </w:tc>
      </w:tr>
      <w:tr w:rsidR="00AD7252" w:rsidTr="00AD7252">
        <w:trPr>
          <w:trHeight w:val="323"/>
        </w:trPr>
        <w:tc>
          <w:tcPr>
            <w:tcW w:w="3375" w:type="dxa"/>
            <w:hideMark/>
          </w:tcPr>
          <w:p w:rsidR="00AD7252" w:rsidRDefault="00AD7252">
            <w:pPr>
              <w:pStyle w:val="TableParagraph"/>
              <w:spacing w:before="56"/>
              <w:ind w:left="349"/>
              <w:rPr>
                <w:sz w:val="19"/>
              </w:rPr>
            </w:pPr>
            <w:r>
              <w:rPr>
                <w:sz w:val="19"/>
              </w:rPr>
              <w:t>Family</w:t>
            </w:r>
          </w:p>
        </w:tc>
        <w:tc>
          <w:tcPr>
            <w:tcW w:w="1020" w:type="dxa"/>
            <w:hideMark/>
          </w:tcPr>
          <w:p w:rsidR="00AD7252" w:rsidRDefault="00AD7252">
            <w:pPr>
              <w:pStyle w:val="TableParagraph"/>
              <w:spacing w:before="56"/>
              <w:ind w:right="478"/>
              <w:jc w:val="right"/>
              <w:rPr>
                <w:sz w:val="19"/>
              </w:rPr>
            </w:pPr>
            <w:r>
              <w:rPr>
                <w:w w:val="95"/>
                <w:sz w:val="19"/>
              </w:rPr>
              <w:t>30%</w:t>
            </w:r>
          </w:p>
        </w:tc>
        <w:tc>
          <w:tcPr>
            <w:tcW w:w="1302" w:type="dxa"/>
            <w:hideMark/>
          </w:tcPr>
          <w:p w:rsidR="00AD7252" w:rsidRDefault="00AD7252">
            <w:pPr>
              <w:pStyle w:val="TableParagraph"/>
              <w:spacing w:before="56"/>
              <w:ind w:left="455" w:right="425"/>
              <w:jc w:val="center"/>
              <w:rPr>
                <w:sz w:val="19"/>
              </w:rPr>
            </w:pPr>
            <w:r>
              <w:rPr>
                <w:sz w:val="19"/>
              </w:rPr>
              <w:t>24%</w:t>
            </w:r>
          </w:p>
        </w:tc>
        <w:tc>
          <w:tcPr>
            <w:tcW w:w="1253" w:type="dxa"/>
            <w:hideMark/>
          </w:tcPr>
          <w:p w:rsidR="00AD7252" w:rsidRDefault="00AD7252">
            <w:pPr>
              <w:pStyle w:val="TableParagraph"/>
              <w:spacing w:before="56"/>
              <w:ind w:right="435"/>
              <w:jc w:val="right"/>
              <w:rPr>
                <w:sz w:val="19"/>
              </w:rPr>
            </w:pPr>
            <w:r>
              <w:rPr>
                <w:w w:val="95"/>
                <w:sz w:val="19"/>
              </w:rPr>
              <w:t>24%</w:t>
            </w:r>
          </w:p>
        </w:tc>
      </w:tr>
      <w:tr w:rsidR="00AD7252" w:rsidTr="00AD7252">
        <w:trPr>
          <w:trHeight w:val="308"/>
        </w:trPr>
        <w:tc>
          <w:tcPr>
            <w:tcW w:w="3375" w:type="dxa"/>
            <w:hideMark/>
          </w:tcPr>
          <w:p w:rsidR="00AD7252" w:rsidRDefault="00AD7252">
            <w:pPr>
              <w:pStyle w:val="TableParagraph"/>
              <w:spacing w:before="42"/>
              <w:ind w:left="349"/>
              <w:rPr>
                <w:sz w:val="19"/>
              </w:rPr>
            </w:pPr>
            <w:r>
              <w:rPr>
                <w:sz w:val="19"/>
              </w:rPr>
              <w:t>Friends</w:t>
            </w:r>
          </w:p>
        </w:tc>
        <w:tc>
          <w:tcPr>
            <w:tcW w:w="1020" w:type="dxa"/>
            <w:hideMark/>
          </w:tcPr>
          <w:p w:rsidR="00AD7252" w:rsidRDefault="00AD7252">
            <w:pPr>
              <w:pStyle w:val="TableParagraph"/>
              <w:spacing w:before="42"/>
              <w:ind w:right="481"/>
              <w:jc w:val="right"/>
              <w:rPr>
                <w:sz w:val="19"/>
              </w:rPr>
            </w:pPr>
            <w:r>
              <w:rPr>
                <w:w w:val="95"/>
                <w:sz w:val="19"/>
              </w:rPr>
              <w:t>6%</w:t>
            </w:r>
          </w:p>
        </w:tc>
        <w:tc>
          <w:tcPr>
            <w:tcW w:w="1302" w:type="dxa"/>
            <w:hideMark/>
          </w:tcPr>
          <w:p w:rsidR="00AD7252" w:rsidRDefault="00AD7252">
            <w:pPr>
              <w:pStyle w:val="TableParagraph"/>
              <w:spacing w:before="42"/>
              <w:ind w:left="455" w:right="323"/>
              <w:jc w:val="center"/>
              <w:rPr>
                <w:sz w:val="19"/>
              </w:rPr>
            </w:pPr>
            <w:r>
              <w:rPr>
                <w:sz w:val="19"/>
              </w:rPr>
              <w:t>5%</w:t>
            </w:r>
          </w:p>
        </w:tc>
        <w:tc>
          <w:tcPr>
            <w:tcW w:w="1253" w:type="dxa"/>
            <w:hideMark/>
          </w:tcPr>
          <w:p w:rsidR="00AD7252" w:rsidRDefault="00AD7252">
            <w:pPr>
              <w:pStyle w:val="TableParagraph"/>
              <w:spacing w:before="42"/>
              <w:ind w:right="438"/>
              <w:jc w:val="right"/>
              <w:rPr>
                <w:sz w:val="19"/>
              </w:rPr>
            </w:pPr>
            <w:r>
              <w:rPr>
                <w:w w:val="95"/>
                <w:sz w:val="19"/>
              </w:rPr>
              <w:t>7%</w:t>
            </w:r>
          </w:p>
        </w:tc>
      </w:tr>
      <w:tr w:rsidR="00AD7252" w:rsidTr="00AD7252">
        <w:trPr>
          <w:trHeight w:val="309"/>
        </w:trPr>
        <w:tc>
          <w:tcPr>
            <w:tcW w:w="3375" w:type="dxa"/>
            <w:hideMark/>
          </w:tcPr>
          <w:p w:rsidR="00AD7252" w:rsidRDefault="00AD7252">
            <w:pPr>
              <w:pStyle w:val="TableParagraph"/>
              <w:spacing w:before="41"/>
              <w:ind w:left="349"/>
              <w:rPr>
                <w:sz w:val="19"/>
              </w:rPr>
            </w:pPr>
            <w:r>
              <w:rPr>
                <w:sz w:val="19"/>
              </w:rPr>
              <w:t>Legal</w:t>
            </w:r>
          </w:p>
        </w:tc>
        <w:tc>
          <w:tcPr>
            <w:tcW w:w="1020" w:type="dxa"/>
            <w:hideMark/>
          </w:tcPr>
          <w:p w:rsidR="00AD7252" w:rsidRDefault="00AD7252">
            <w:pPr>
              <w:pStyle w:val="TableParagraph"/>
              <w:spacing w:before="41"/>
              <w:ind w:right="478"/>
              <w:jc w:val="right"/>
              <w:rPr>
                <w:sz w:val="19"/>
              </w:rPr>
            </w:pPr>
            <w:r>
              <w:rPr>
                <w:w w:val="95"/>
                <w:sz w:val="19"/>
              </w:rPr>
              <w:t>23%</w:t>
            </w:r>
          </w:p>
        </w:tc>
        <w:tc>
          <w:tcPr>
            <w:tcW w:w="1302" w:type="dxa"/>
            <w:hideMark/>
          </w:tcPr>
          <w:p w:rsidR="00AD7252" w:rsidRDefault="00AD7252">
            <w:pPr>
              <w:pStyle w:val="TableParagraph"/>
              <w:spacing w:before="41"/>
              <w:ind w:left="455" w:right="425"/>
              <w:jc w:val="center"/>
              <w:rPr>
                <w:sz w:val="19"/>
              </w:rPr>
            </w:pPr>
            <w:r>
              <w:rPr>
                <w:sz w:val="19"/>
              </w:rPr>
              <w:t>32%</w:t>
            </w:r>
          </w:p>
        </w:tc>
        <w:tc>
          <w:tcPr>
            <w:tcW w:w="1253" w:type="dxa"/>
            <w:hideMark/>
          </w:tcPr>
          <w:p w:rsidR="00AD7252" w:rsidRDefault="00AD7252">
            <w:pPr>
              <w:pStyle w:val="TableParagraph"/>
              <w:spacing w:before="41"/>
              <w:ind w:right="435"/>
              <w:jc w:val="right"/>
              <w:rPr>
                <w:sz w:val="19"/>
              </w:rPr>
            </w:pPr>
            <w:r>
              <w:rPr>
                <w:w w:val="95"/>
                <w:sz w:val="19"/>
              </w:rPr>
              <w:t>27%</w:t>
            </w:r>
          </w:p>
        </w:tc>
      </w:tr>
      <w:tr w:rsidR="00AD7252" w:rsidTr="00AD7252">
        <w:trPr>
          <w:trHeight w:val="310"/>
        </w:trPr>
        <w:tc>
          <w:tcPr>
            <w:tcW w:w="3375" w:type="dxa"/>
            <w:hideMark/>
          </w:tcPr>
          <w:p w:rsidR="00AD7252" w:rsidRDefault="00AD7252">
            <w:pPr>
              <w:pStyle w:val="TableParagraph"/>
              <w:spacing w:before="42"/>
              <w:ind w:left="349"/>
              <w:rPr>
                <w:sz w:val="19"/>
              </w:rPr>
            </w:pPr>
            <w:r>
              <w:rPr>
                <w:sz w:val="19"/>
              </w:rPr>
              <w:t>SMA</w:t>
            </w:r>
          </w:p>
        </w:tc>
        <w:tc>
          <w:tcPr>
            <w:tcW w:w="1020" w:type="dxa"/>
            <w:hideMark/>
          </w:tcPr>
          <w:p w:rsidR="00AD7252" w:rsidRDefault="00AD7252">
            <w:pPr>
              <w:pStyle w:val="TableParagraph"/>
              <w:spacing w:before="42"/>
              <w:ind w:right="478"/>
              <w:jc w:val="right"/>
              <w:rPr>
                <w:sz w:val="19"/>
              </w:rPr>
            </w:pPr>
            <w:r>
              <w:rPr>
                <w:w w:val="95"/>
                <w:sz w:val="19"/>
              </w:rPr>
              <w:t>25%</w:t>
            </w:r>
          </w:p>
        </w:tc>
        <w:tc>
          <w:tcPr>
            <w:tcW w:w="1302" w:type="dxa"/>
            <w:hideMark/>
          </w:tcPr>
          <w:p w:rsidR="00AD7252" w:rsidRDefault="00AD7252">
            <w:pPr>
              <w:pStyle w:val="TableParagraph"/>
              <w:spacing w:before="42"/>
              <w:ind w:left="455" w:right="425"/>
              <w:jc w:val="center"/>
              <w:rPr>
                <w:sz w:val="19"/>
              </w:rPr>
            </w:pPr>
            <w:r>
              <w:rPr>
                <w:sz w:val="19"/>
              </w:rPr>
              <w:t>24%</w:t>
            </w:r>
          </w:p>
        </w:tc>
        <w:tc>
          <w:tcPr>
            <w:tcW w:w="1253" w:type="dxa"/>
            <w:hideMark/>
          </w:tcPr>
          <w:p w:rsidR="00AD7252" w:rsidRDefault="00AD7252">
            <w:pPr>
              <w:pStyle w:val="TableParagraph"/>
              <w:spacing w:before="42"/>
              <w:ind w:right="434"/>
              <w:jc w:val="right"/>
              <w:rPr>
                <w:sz w:val="19"/>
              </w:rPr>
            </w:pPr>
            <w:r>
              <w:rPr>
                <w:w w:val="95"/>
                <w:sz w:val="19"/>
              </w:rPr>
              <w:t>30%</w:t>
            </w:r>
          </w:p>
        </w:tc>
      </w:tr>
      <w:tr w:rsidR="00AD7252" w:rsidTr="00AD7252">
        <w:trPr>
          <w:trHeight w:val="452"/>
        </w:trPr>
        <w:tc>
          <w:tcPr>
            <w:tcW w:w="3375" w:type="dxa"/>
            <w:hideMark/>
          </w:tcPr>
          <w:p w:rsidR="00AD7252" w:rsidRDefault="00AD7252">
            <w:pPr>
              <w:pStyle w:val="TableParagraph"/>
              <w:spacing w:before="42"/>
              <w:ind w:left="349"/>
              <w:rPr>
                <w:sz w:val="19"/>
              </w:rPr>
            </w:pPr>
            <w:r>
              <w:rPr>
                <w:sz w:val="19"/>
              </w:rPr>
              <w:t>Other</w:t>
            </w:r>
          </w:p>
        </w:tc>
        <w:tc>
          <w:tcPr>
            <w:tcW w:w="1020" w:type="dxa"/>
            <w:hideMark/>
          </w:tcPr>
          <w:p w:rsidR="00AD7252" w:rsidRDefault="00AD7252">
            <w:pPr>
              <w:pStyle w:val="TableParagraph"/>
              <w:spacing w:before="42"/>
              <w:ind w:right="484"/>
              <w:jc w:val="right"/>
              <w:rPr>
                <w:sz w:val="19"/>
              </w:rPr>
            </w:pPr>
            <w:r>
              <w:rPr>
                <w:w w:val="95"/>
                <w:sz w:val="19"/>
              </w:rPr>
              <w:t>8%</w:t>
            </w:r>
          </w:p>
        </w:tc>
        <w:tc>
          <w:tcPr>
            <w:tcW w:w="1302" w:type="dxa"/>
            <w:hideMark/>
          </w:tcPr>
          <w:p w:rsidR="00AD7252" w:rsidRDefault="00AD7252">
            <w:pPr>
              <w:pStyle w:val="TableParagraph"/>
              <w:spacing w:before="42"/>
              <w:ind w:left="455" w:right="323"/>
              <w:jc w:val="center"/>
              <w:rPr>
                <w:sz w:val="19"/>
              </w:rPr>
            </w:pPr>
            <w:r>
              <w:rPr>
                <w:sz w:val="19"/>
              </w:rPr>
              <w:t>5%</w:t>
            </w:r>
          </w:p>
        </w:tc>
        <w:tc>
          <w:tcPr>
            <w:tcW w:w="1253" w:type="dxa"/>
            <w:hideMark/>
          </w:tcPr>
          <w:p w:rsidR="00AD7252" w:rsidRDefault="00AD7252">
            <w:pPr>
              <w:pStyle w:val="TableParagraph"/>
              <w:spacing w:before="42"/>
              <w:ind w:right="441"/>
              <w:jc w:val="right"/>
              <w:rPr>
                <w:sz w:val="19"/>
              </w:rPr>
            </w:pPr>
            <w:r>
              <w:rPr>
                <w:w w:val="95"/>
                <w:sz w:val="19"/>
              </w:rPr>
              <w:t>2%</w:t>
            </w:r>
          </w:p>
        </w:tc>
      </w:tr>
      <w:tr w:rsidR="00AD7252" w:rsidTr="00AD7252">
        <w:trPr>
          <w:trHeight w:val="447"/>
        </w:trPr>
        <w:tc>
          <w:tcPr>
            <w:tcW w:w="3375" w:type="dxa"/>
          </w:tcPr>
          <w:p w:rsidR="00AD7252" w:rsidRDefault="00AD7252">
            <w:pPr>
              <w:pStyle w:val="TableParagraph"/>
              <w:rPr>
                <w:sz w:val="16"/>
              </w:rPr>
            </w:pPr>
          </w:p>
          <w:p w:rsidR="00AD7252" w:rsidRDefault="00AD7252">
            <w:pPr>
              <w:pStyle w:val="TableParagraph"/>
              <w:ind w:left="332"/>
              <w:rPr>
                <w:sz w:val="18"/>
              </w:rPr>
            </w:pPr>
            <w:r>
              <w:rPr>
                <w:b/>
                <w:sz w:val="18"/>
              </w:rPr>
              <w:t xml:space="preserve">2. </w:t>
            </w:r>
            <w:r>
              <w:rPr>
                <w:sz w:val="18"/>
              </w:rPr>
              <w:t>The (professional) Society’s role:</w:t>
            </w:r>
          </w:p>
        </w:tc>
        <w:tc>
          <w:tcPr>
            <w:tcW w:w="1020" w:type="dxa"/>
          </w:tcPr>
          <w:p w:rsidR="00AD7252" w:rsidRDefault="00AD7252">
            <w:pPr>
              <w:pStyle w:val="TableParagraph"/>
              <w:rPr>
                <w:rFonts w:ascii="Times New Roman"/>
                <w:sz w:val="20"/>
              </w:rPr>
            </w:pPr>
          </w:p>
        </w:tc>
        <w:tc>
          <w:tcPr>
            <w:tcW w:w="1302" w:type="dxa"/>
          </w:tcPr>
          <w:p w:rsidR="00AD7252" w:rsidRDefault="00AD7252">
            <w:pPr>
              <w:pStyle w:val="TableParagraph"/>
              <w:rPr>
                <w:rFonts w:ascii="Times New Roman"/>
                <w:sz w:val="20"/>
              </w:rPr>
            </w:pPr>
          </w:p>
        </w:tc>
        <w:tc>
          <w:tcPr>
            <w:tcW w:w="1253" w:type="dxa"/>
          </w:tcPr>
          <w:p w:rsidR="00AD7252" w:rsidRDefault="00AD7252">
            <w:pPr>
              <w:pStyle w:val="TableParagraph"/>
              <w:rPr>
                <w:rFonts w:ascii="Times New Roman"/>
                <w:sz w:val="20"/>
              </w:rPr>
            </w:pPr>
          </w:p>
        </w:tc>
      </w:tr>
      <w:tr w:rsidR="00AD7252" w:rsidTr="00AD7252">
        <w:trPr>
          <w:trHeight w:val="310"/>
        </w:trPr>
        <w:tc>
          <w:tcPr>
            <w:tcW w:w="3375" w:type="dxa"/>
            <w:hideMark/>
          </w:tcPr>
          <w:p w:rsidR="00AD7252" w:rsidRDefault="00AD7252">
            <w:pPr>
              <w:pStyle w:val="TableParagraph"/>
              <w:spacing w:before="48"/>
              <w:ind w:left="349"/>
              <w:rPr>
                <w:sz w:val="18"/>
              </w:rPr>
            </w:pPr>
            <w:r>
              <w:rPr>
                <w:sz w:val="18"/>
              </w:rPr>
              <w:t>Advice</w:t>
            </w:r>
          </w:p>
        </w:tc>
        <w:tc>
          <w:tcPr>
            <w:tcW w:w="1020" w:type="dxa"/>
            <w:hideMark/>
          </w:tcPr>
          <w:p w:rsidR="00AD7252" w:rsidRDefault="00AD7252">
            <w:pPr>
              <w:pStyle w:val="TableParagraph"/>
              <w:spacing w:before="48"/>
              <w:ind w:right="489"/>
              <w:jc w:val="right"/>
              <w:rPr>
                <w:sz w:val="18"/>
              </w:rPr>
            </w:pPr>
            <w:r>
              <w:rPr>
                <w:w w:val="95"/>
                <w:sz w:val="18"/>
              </w:rPr>
              <w:t>48%</w:t>
            </w:r>
          </w:p>
        </w:tc>
        <w:tc>
          <w:tcPr>
            <w:tcW w:w="1302" w:type="dxa"/>
            <w:hideMark/>
          </w:tcPr>
          <w:p w:rsidR="00AD7252" w:rsidRDefault="00AD7252">
            <w:pPr>
              <w:pStyle w:val="TableParagraph"/>
              <w:spacing w:before="48"/>
              <w:ind w:left="455" w:right="423"/>
              <w:jc w:val="center"/>
              <w:rPr>
                <w:sz w:val="18"/>
              </w:rPr>
            </w:pPr>
            <w:r>
              <w:rPr>
                <w:sz w:val="18"/>
              </w:rPr>
              <w:t>53%</w:t>
            </w:r>
          </w:p>
        </w:tc>
        <w:tc>
          <w:tcPr>
            <w:tcW w:w="1253" w:type="dxa"/>
            <w:hideMark/>
          </w:tcPr>
          <w:p w:rsidR="00AD7252" w:rsidRDefault="00AD7252">
            <w:pPr>
              <w:pStyle w:val="TableParagraph"/>
              <w:spacing w:before="48"/>
              <w:ind w:right="448"/>
              <w:jc w:val="right"/>
              <w:rPr>
                <w:sz w:val="18"/>
              </w:rPr>
            </w:pPr>
            <w:r>
              <w:rPr>
                <w:w w:val="95"/>
                <w:sz w:val="18"/>
              </w:rPr>
              <w:t>50%</w:t>
            </w:r>
          </w:p>
        </w:tc>
      </w:tr>
      <w:tr w:rsidR="00AD7252" w:rsidTr="00AD7252">
        <w:trPr>
          <w:trHeight w:val="308"/>
        </w:trPr>
        <w:tc>
          <w:tcPr>
            <w:tcW w:w="3375" w:type="dxa"/>
            <w:hideMark/>
          </w:tcPr>
          <w:p w:rsidR="00AD7252" w:rsidRDefault="00AD7252">
            <w:pPr>
              <w:pStyle w:val="TableParagraph"/>
              <w:spacing w:before="47"/>
              <w:ind w:left="349"/>
              <w:rPr>
                <w:sz w:val="18"/>
              </w:rPr>
            </w:pPr>
            <w:r>
              <w:rPr>
                <w:sz w:val="18"/>
              </w:rPr>
              <w:t>Employment</w:t>
            </w:r>
          </w:p>
        </w:tc>
        <w:tc>
          <w:tcPr>
            <w:tcW w:w="1020" w:type="dxa"/>
            <w:hideMark/>
          </w:tcPr>
          <w:p w:rsidR="00AD7252" w:rsidRDefault="00AD7252">
            <w:pPr>
              <w:pStyle w:val="TableParagraph"/>
              <w:spacing w:before="47"/>
              <w:ind w:right="490"/>
              <w:jc w:val="right"/>
              <w:rPr>
                <w:sz w:val="18"/>
              </w:rPr>
            </w:pPr>
            <w:r>
              <w:rPr>
                <w:w w:val="95"/>
                <w:sz w:val="18"/>
              </w:rPr>
              <w:t>22%</w:t>
            </w:r>
          </w:p>
        </w:tc>
        <w:tc>
          <w:tcPr>
            <w:tcW w:w="1302" w:type="dxa"/>
            <w:hideMark/>
          </w:tcPr>
          <w:p w:rsidR="00AD7252" w:rsidRDefault="00AD7252">
            <w:pPr>
              <w:pStyle w:val="TableParagraph"/>
              <w:spacing w:before="47"/>
              <w:ind w:left="455" w:right="423"/>
              <w:jc w:val="center"/>
              <w:rPr>
                <w:sz w:val="18"/>
              </w:rPr>
            </w:pPr>
            <w:r>
              <w:rPr>
                <w:sz w:val="18"/>
              </w:rPr>
              <w:t>36%</w:t>
            </w:r>
          </w:p>
        </w:tc>
        <w:tc>
          <w:tcPr>
            <w:tcW w:w="1253" w:type="dxa"/>
            <w:hideMark/>
          </w:tcPr>
          <w:p w:rsidR="00AD7252" w:rsidRDefault="00AD7252">
            <w:pPr>
              <w:pStyle w:val="TableParagraph"/>
              <w:spacing w:before="47"/>
              <w:ind w:right="448"/>
              <w:jc w:val="right"/>
              <w:rPr>
                <w:sz w:val="18"/>
              </w:rPr>
            </w:pPr>
            <w:r>
              <w:rPr>
                <w:w w:val="95"/>
                <w:sz w:val="18"/>
              </w:rPr>
              <w:t>33%</w:t>
            </w:r>
          </w:p>
        </w:tc>
      </w:tr>
      <w:tr w:rsidR="00AD7252" w:rsidTr="00AD7252">
        <w:trPr>
          <w:trHeight w:val="309"/>
        </w:trPr>
        <w:tc>
          <w:tcPr>
            <w:tcW w:w="3375" w:type="dxa"/>
            <w:hideMark/>
          </w:tcPr>
          <w:p w:rsidR="00AD7252" w:rsidRDefault="00AD7252">
            <w:pPr>
              <w:pStyle w:val="TableParagraph"/>
              <w:spacing w:before="47"/>
              <w:ind w:left="349"/>
              <w:rPr>
                <w:sz w:val="18"/>
              </w:rPr>
            </w:pPr>
            <w:r>
              <w:rPr>
                <w:sz w:val="18"/>
              </w:rPr>
              <w:t>Financial help</w:t>
            </w:r>
          </w:p>
        </w:tc>
        <w:tc>
          <w:tcPr>
            <w:tcW w:w="1020" w:type="dxa"/>
            <w:hideMark/>
          </w:tcPr>
          <w:p w:rsidR="00AD7252" w:rsidRDefault="00AD7252">
            <w:pPr>
              <w:pStyle w:val="TableParagraph"/>
              <w:spacing w:before="47"/>
              <w:ind w:right="490"/>
              <w:jc w:val="right"/>
              <w:rPr>
                <w:sz w:val="18"/>
              </w:rPr>
            </w:pPr>
            <w:r>
              <w:rPr>
                <w:w w:val="95"/>
                <w:sz w:val="18"/>
              </w:rPr>
              <w:t>16%</w:t>
            </w:r>
          </w:p>
        </w:tc>
        <w:tc>
          <w:tcPr>
            <w:tcW w:w="1302" w:type="dxa"/>
            <w:hideMark/>
          </w:tcPr>
          <w:p w:rsidR="00AD7252" w:rsidRDefault="00AD7252">
            <w:pPr>
              <w:pStyle w:val="TableParagraph"/>
              <w:spacing w:before="47"/>
              <w:ind w:left="455" w:right="327"/>
              <w:jc w:val="center"/>
              <w:rPr>
                <w:sz w:val="18"/>
              </w:rPr>
            </w:pPr>
            <w:r>
              <w:rPr>
                <w:sz w:val="18"/>
              </w:rPr>
              <w:t>9%</w:t>
            </w:r>
          </w:p>
        </w:tc>
        <w:tc>
          <w:tcPr>
            <w:tcW w:w="1253" w:type="dxa"/>
            <w:hideMark/>
          </w:tcPr>
          <w:p w:rsidR="00AD7252" w:rsidRDefault="00AD7252">
            <w:pPr>
              <w:pStyle w:val="TableParagraph"/>
              <w:spacing w:before="47"/>
              <w:ind w:right="444"/>
              <w:jc w:val="right"/>
              <w:rPr>
                <w:sz w:val="18"/>
              </w:rPr>
            </w:pPr>
            <w:r>
              <w:rPr>
                <w:w w:val="95"/>
                <w:sz w:val="18"/>
              </w:rPr>
              <w:t>8%</w:t>
            </w:r>
          </w:p>
        </w:tc>
      </w:tr>
      <w:tr w:rsidR="00AD7252" w:rsidTr="00AD7252">
        <w:trPr>
          <w:trHeight w:val="310"/>
        </w:trPr>
        <w:tc>
          <w:tcPr>
            <w:tcW w:w="3375" w:type="dxa"/>
            <w:hideMark/>
          </w:tcPr>
          <w:p w:rsidR="00AD7252" w:rsidRDefault="00AD7252">
            <w:pPr>
              <w:pStyle w:val="TableParagraph"/>
              <w:spacing w:before="48"/>
              <w:ind w:left="349"/>
              <w:rPr>
                <w:sz w:val="18"/>
              </w:rPr>
            </w:pPr>
            <w:r>
              <w:rPr>
                <w:sz w:val="18"/>
              </w:rPr>
              <w:t>Other</w:t>
            </w:r>
          </w:p>
        </w:tc>
        <w:tc>
          <w:tcPr>
            <w:tcW w:w="1020" w:type="dxa"/>
            <w:hideMark/>
          </w:tcPr>
          <w:p w:rsidR="00AD7252" w:rsidRDefault="00AD7252">
            <w:pPr>
              <w:pStyle w:val="TableParagraph"/>
              <w:spacing w:before="48"/>
              <w:ind w:right="490"/>
              <w:jc w:val="right"/>
              <w:rPr>
                <w:sz w:val="18"/>
              </w:rPr>
            </w:pPr>
            <w:r>
              <w:rPr>
                <w:w w:val="95"/>
                <w:sz w:val="18"/>
              </w:rPr>
              <w:t>12%</w:t>
            </w:r>
          </w:p>
        </w:tc>
        <w:tc>
          <w:tcPr>
            <w:tcW w:w="1302" w:type="dxa"/>
            <w:hideMark/>
          </w:tcPr>
          <w:p w:rsidR="00AD7252" w:rsidRDefault="00AD7252">
            <w:pPr>
              <w:pStyle w:val="TableParagraph"/>
              <w:spacing w:before="48"/>
              <w:ind w:left="455" w:right="327"/>
              <w:jc w:val="center"/>
              <w:rPr>
                <w:sz w:val="18"/>
              </w:rPr>
            </w:pPr>
            <w:r>
              <w:rPr>
                <w:sz w:val="18"/>
              </w:rPr>
              <w:t>1%</w:t>
            </w:r>
          </w:p>
        </w:tc>
        <w:tc>
          <w:tcPr>
            <w:tcW w:w="1253" w:type="dxa"/>
            <w:hideMark/>
          </w:tcPr>
          <w:p w:rsidR="00AD7252" w:rsidRDefault="00AD7252">
            <w:pPr>
              <w:pStyle w:val="TableParagraph"/>
              <w:spacing w:before="48"/>
              <w:ind w:right="447"/>
              <w:jc w:val="right"/>
              <w:rPr>
                <w:sz w:val="18"/>
              </w:rPr>
            </w:pPr>
            <w:r>
              <w:rPr>
                <w:w w:val="95"/>
                <w:sz w:val="18"/>
              </w:rPr>
              <w:t>5%</w:t>
            </w:r>
          </w:p>
        </w:tc>
      </w:tr>
      <w:tr w:rsidR="00AD7252" w:rsidTr="00AD7252">
        <w:trPr>
          <w:trHeight w:val="331"/>
        </w:trPr>
        <w:tc>
          <w:tcPr>
            <w:tcW w:w="3375" w:type="dxa"/>
            <w:tcBorders>
              <w:top w:val="nil"/>
              <w:left w:val="nil"/>
              <w:bottom w:val="single" w:sz="4" w:space="0" w:color="000000"/>
              <w:right w:val="nil"/>
            </w:tcBorders>
            <w:hideMark/>
          </w:tcPr>
          <w:p w:rsidR="00AD7252" w:rsidRDefault="00AD7252">
            <w:pPr>
              <w:pStyle w:val="TableParagraph"/>
              <w:spacing w:before="48"/>
              <w:ind w:left="349"/>
              <w:rPr>
                <w:sz w:val="18"/>
              </w:rPr>
            </w:pPr>
            <w:r>
              <w:rPr>
                <w:sz w:val="18"/>
              </w:rPr>
              <w:t>Nothing</w:t>
            </w:r>
          </w:p>
        </w:tc>
        <w:tc>
          <w:tcPr>
            <w:tcW w:w="1020" w:type="dxa"/>
            <w:tcBorders>
              <w:top w:val="nil"/>
              <w:left w:val="nil"/>
              <w:bottom w:val="single" w:sz="4" w:space="0" w:color="000000"/>
              <w:right w:val="nil"/>
            </w:tcBorders>
            <w:hideMark/>
          </w:tcPr>
          <w:p w:rsidR="00AD7252" w:rsidRDefault="00AD7252">
            <w:pPr>
              <w:pStyle w:val="TableParagraph"/>
              <w:spacing w:before="48"/>
              <w:ind w:right="491"/>
              <w:jc w:val="right"/>
              <w:rPr>
                <w:sz w:val="18"/>
              </w:rPr>
            </w:pPr>
            <w:r>
              <w:rPr>
                <w:w w:val="95"/>
                <w:sz w:val="18"/>
              </w:rPr>
              <w:t>2%</w:t>
            </w:r>
          </w:p>
        </w:tc>
        <w:tc>
          <w:tcPr>
            <w:tcW w:w="1302" w:type="dxa"/>
            <w:tcBorders>
              <w:top w:val="nil"/>
              <w:left w:val="nil"/>
              <w:bottom w:val="single" w:sz="4" w:space="0" w:color="000000"/>
              <w:right w:val="nil"/>
            </w:tcBorders>
            <w:hideMark/>
          </w:tcPr>
          <w:p w:rsidR="00AD7252" w:rsidRDefault="00AD7252">
            <w:pPr>
              <w:pStyle w:val="TableParagraph"/>
              <w:spacing w:before="48"/>
              <w:ind w:left="455" w:right="327"/>
              <w:jc w:val="center"/>
              <w:rPr>
                <w:sz w:val="18"/>
              </w:rPr>
            </w:pPr>
            <w:r>
              <w:rPr>
                <w:sz w:val="18"/>
              </w:rPr>
              <w:t>1%</w:t>
            </w:r>
          </w:p>
        </w:tc>
        <w:tc>
          <w:tcPr>
            <w:tcW w:w="1253" w:type="dxa"/>
            <w:tcBorders>
              <w:top w:val="nil"/>
              <w:left w:val="nil"/>
              <w:bottom w:val="single" w:sz="4" w:space="0" w:color="000000"/>
              <w:right w:val="nil"/>
            </w:tcBorders>
            <w:hideMark/>
          </w:tcPr>
          <w:p w:rsidR="00AD7252" w:rsidRDefault="00AD7252">
            <w:pPr>
              <w:pStyle w:val="TableParagraph"/>
              <w:spacing w:before="48"/>
              <w:ind w:right="447"/>
              <w:jc w:val="right"/>
              <w:rPr>
                <w:sz w:val="18"/>
              </w:rPr>
            </w:pPr>
            <w:r>
              <w:rPr>
                <w:w w:val="95"/>
                <w:sz w:val="18"/>
              </w:rPr>
              <w:t>4%</w:t>
            </w:r>
          </w:p>
        </w:tc>
      </w:tr>
    </w:tbl>
    <w:p w:rsidR="00CD0346" w:rsidRDefault="00CD0346">
      <w:bookmarkStart w:id="0" w:name="_GoBack"/>
      <w:bookmarkEnd w:id="0"/>
    </w:p>
    <w:sectPr w:rsidR="00CD03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C6A26"/>
    <w:multiLevelType w:val="hybridMultilevel"/>
    <w:tmpl w:val="EA3455B6"/>
    <w:lvl w:ilvl="0" w:tplc="8F9CCE22">
      <w:start w:val="1"/>
      <w:numFmt w:val="decimal"/>
      <w:lvlText w:val="%1."/>
      <w:lvlJc w:val="left"/>
      <w:pPr>
        <w:ind w:left="1442" w:hanging="322"/>
      </w:pPr>
      <w:rPr>
        <w:rFonts w:ascii="Arial" w:eastAsia="Arial" w:hAnsi="Arial" w:cs="Arial" w:hint="default"/>
        <w:b/>
        <w:bCs/>
        <w:spacing w:val="-1"/>
        <w:w w:val="98"/>
        <w:sz w:val="18"/>
        <w:szCs w:val="18"/>
        <w:lang w:val="en-US" w:eastAsia="en-US" w:bidi="en-US"/>
      </w:rPr>
    </w:lvl>
    <w:lvl w:ilvl="1" w:tplc="7D14C76A">
      <w:numFmt w:val="bullet"/>
      <w:lvlText w:val="•"/>
      <w:lvlJc w:val="left"/>
      <w:pPr>
        <w:ind w:left="2176" w:hanging="322"/>
      </w:pPr>
      <w:rPr>
        <w:lang w:val="en-US" w:eastAsia="en-US" w:bidi="en-US"/>
      </w:rPr>
    </w:lvl>
    <w:lvl w:ilvl="2" w:tplc="D6901064">
      <w:numFmt w:val="bullet"/>
      <w:lvlText w:val="•"/>
      <w:lvlJc w:val="left"/>
      <w:pPr>
        <w:ind w:left="2912" w:hanging="322"/>
      </w:pPr>
      <w:rPr>
        <w:lang w:val="en-US" w:eastAsia="en-US" w:bidi="en-US"/>
      </w:rPr>
    </w:lvl>
    <w:lvl w:ilvl="3" w:tplc="2978496A">
      <w:numFmt w:val="bullet"/>
      <w:lvlText w:val="•"/>
      <w:lvlJc w:val="left"/>
      <w:pPr>
        <w:ind w:left="3648" w:hanging="322"/>
      </w:pPr>
      <w:rPr>
        <w:lang w:val="en-US" w:eastAsia="en-US" w:bidi="en-US"/>
      </w:rPr>
    </w:lvl>
    <w:lvl w:ilvl="4" w:tplc="D1424D38">
      <w:numFmt w:val="bullet"/>
      <w:lvlText w:val="•"/>
      <w:lvlJc w:val="left"/>
      <w:pPr>
        <w:ind w:left="4384" w:hanging="322"/>
      </w:pPr>
      <w:rPr>
        <w:lang w:val="en-US" w:eastAsia="en-US" w:bidi="en-US"/>
      </w:rPr>
    </w:lvl>
    <w:lvl w:ilvl="5" w:tplc="F1CA98AC">
      <w:numFmt w:val="bullet"/>
      <w:lvlText w:val="•"/>
      <w:lvlJc w:val="left"/>
      <w:pPr>
        <w:ind w:left="5120" w:hanging="322"/>
      </w:pPr>
      <w:rPr>
        <w:lang w:val="en-US" w:eastAsia="en-US" w:bidi="en-US"/>
      </w:rPr>
    </w:lvl>
    <w:lvl w:ilvl="6" w:tplc="6E1C82B2">
      <w:numFmt w:val="bullet"/>
      <w:lvlText w:val="•"/>
      <w:lvlJc w:val="left"/>
      <w:pPr>
        <w:ind w:left="5856" w:hanging="322"/>
      </w:pPr>
      <w:rPr>
        <w:lang w:val="en-US" w:eastAsia="en-US" w:bidi="en-US"/>
      </w:rPr>
    </w:lvl>
    <w:lvl w:ilvl="7" w:tplc="7FB85902">
      <w:numFmt w:val="bullet"/>
      <w:lvlText w:val="•"/>
      <w:lvlJc w:val="left"/>
      <w:pPr>
        <w:ind w:left="6592" w:hanging="322"/>
      </w:pPr>
      <w:rPr>
        <w:lang w:val="en-US" w:eastAsia="en-US" w:bidi="en-US"/>
      </w:rPr>
    </w:lvl>
    <w:lvl w:ilvl="8" w:tplc="FA8EB456">
      <w:numFmt w:val="bullet"/>
      <w:lvlText w:val="•"/>
      <w:lvlJc w:val="left"/>
      <w:pPr>
        <w:ind w:left="7328" w:hanging="322"/>
      </w:pPr>
      <w:rPr>
        <w:lang w:val="en-US" w:eastAsia="en-US" w:bidi="en-US"/>
      </w:rPr>
    </w:lvl>
  </w:abstractNum>
  <w:abstractNum w:abstractNumId="1" w15:restartNumberingAfterBreak="0">
    <w:nsid w:val="1D2538DA"/>
    <w:multiLevelType w:val="hybridMultilevel"/>
    <w:tmpl w:val="68D2B9F6"/>
    <w:lvl w:ilvl="0" w:tplc="A240F0F8">
      <w:numFmt w:val="bullet"/>
      <w:lvlText w:val=""/>
      <w:lvlJc w:val="left"/>
      <w:pPr>
        <w:ind w:left="1078" w:hanging="340"/>
      </w:pPr>
      <w:rPr>
        <w:rFonts w:ascii="Symbol" w:eastAsia="Symbol" w:hAnsi="Symbol" w:cs="Symbol" w:hint="default"/>
        <w:w w:val="103"/>
        <w:sz w:val="20"/>
        <w:szCs w:val="20"/>
        <w:lang w:val="en-US" w:eastAsia="en-US" w:bidi="en-US"/>
      </w:rPr>
    </w:lvl>
    <w:lvl w:ilvl="1" w:tplc="D8943670">
      <w:numFmt w:val="bullet"/>
      <w:lvlText w:val="•"/>
      <w:lvlJc w:val="left"/>
      <w:pPr>
        <w:ind w:left="1852" w:hanging="340"/>
      </w:pPr>
      <w:rPr>
        <w:lang w:val="en-US" w:eastAsia="en-US" w:bidi="en-US"/>
      </w:rPr>
    </w:lvl>
    <w:lvl w:ilvl="2" w:tplc="F176D172">
      <w:numFmt w:val="bullet"/>
      <w:lvlText w:val="•"/>
      <w:lvlJc w:val="left"/>
      <w:pPr>
        <w:ind w:left="2624" w:hanging="340"/>
      </w:pPr>
      <w:rPr>
        <w:lang w:val="en-US" w:eastAsia="en-US" w:bidi="en-US"/>
      </w:rPr>
    </w:lvl>
    <w:lvl w:ilvl="3" w:tplc="B5621CE6">
      <w:numFmt w:val="bullet"/>
      <w:lvlText w:val="•"/>
      <w:lvlJc w:val="left"/>
      <w:pPr>
        <w:ind w:left="3396" w:hanging="340"/>
      </w:pPr>
      <w:rPr>
        <w:lang w:val="en-US" w:eastAsia="en-US" w:bidi="en-US"/>
      </w:rPr>
    </w:lvl>
    <w:lvl w:ilvl="4" w:tplc="F61AC764">
      <w:numFmt w:val="bullet"/>
      <w:lvlText w:val="•"/>
      <w:lvlJc w:val="left"/>
      <w:pPr>
        <w:ind w:left="4168" w:hanging="340"/>
      </w:pPr>
      <w:rPr>
        <w:lang w:val="en-US" w:eastAsia="en-US" w:bidi="en-US"/>
      </w:rPr>
    </w:lvl>
    <w:lvl w:ilvl="5" w:tplc="DE4C8BC4">
      <w:numFmt w:val="bullet"/>
      <w:lvlText w:val="•"/>
      <w:lvlJc w:val="left"/>
      <w:pPr>
        <w:ind w:left="4940" w:hanging="340"/>
      </w:pPr>
      <w:rPr>
        <w:lang w:val="en-US" w:eastAsia="en-US" w:bidi="en-US"/>
      </w:rPr>
    </w:lvl>
    <w:lvl w:ilvl="6" w:tplc="509A98C4">
      <w:numFmt w:val="bullet"/>
      <w:lvlText w:val="•"/>
      <w:lvlJc w:val="left"/>
      <w:pPr>
        <w:ind w:left="5712" w:hanging="340"/>
      </w:pPr>
      <w:rPr>
        <w:lang w:val="en-US" w:eastAsia="en-US" w:bidi="en-US"/>
      </w:rPr>
    </w:lvl>
    <w:lvl w:ilvl="7" w:tplc="17BA85A2">
      <w:numFmt w:val="bullet"/>
      <w:lvlText w:val="•"/>
      <w:lvlJc w:val="left"/>
      <w:pPr>
        <w:ind w:left="6484" w:hanging="340"/>
      </w:pPr>
      <w:rPr>
        <w:lang w:val="en-US" w:eastAsia="en-US" w:bidi="en-US"/>
      </w:rPr>
    </w:lvl>
    <w:lvl w:ilvl="8" w:tplc="1F44C1D4">
      <w:numFmt w:val="bullet"/>
      <w:lvlText w:val="•"/>
      <w:lvlJc w:val="left"/>
      <w:pPr>
        <w:ind w:left="7256" w:hanging="340"/>
      </w:pPr>
      <w:rPr>
        <w:lang w:val="en-US" w:eastAsia="en-US" w:bidi="en-US"/>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772"/>
    <w:rsid w:val="00560772"/>
    <w:rsid w:val="00AD7252"/>
    <w:rsid w:val="00CD03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7D57F1-85A9-45BB-80D8-6F2D93867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D7252"/>
    <w:pPr>
      <w:widowControl w:val="0"/>
      <w:autoSpaceDE w:val="0"/>
      <w:autoSpaceDN w:val="0"/>
      <w:spacing w:after="0" w:line="240" w:lineRule="auto"/>
    </w:pPr>
    <w:rPr>
      <w:rFonts w:ascii="Times New Roman" w:eastAsia="Times New Roman" w:hAnsi="Times New Roman" w:cs="Times New Roman"/>
      <w:lang w:bidi="en-US"/>
    </w:rPr>
  </w:style>
  <w:style w:type="paragraph" w:styleId="Heading1">
    <w:name w:val="heading 1"/>
    <w:basedOn w:val="Normal"/>
    <w:link w:val="Heading1Char"/>
    <w:uiPriority w:val="1"/>
    <w:qFormat/>
    <w:rsid w:val="00AD7252"/>
    <w:pPr>
      <w:ind w:left="34" w:right="32"/>
      <w:jc w:val="center"/>
      <w:outlineLvl w:val="0"/>
    </w:pPr>
    <w:rPr>
      <w:rFonts w:ascii="Arial" w:eastAsia="Arial" w:hAnsi="Arial" w:cs="Arial"/>
      <w:b/>
      <w:bCs/>
      <w:sz w:val="32"/>
      <w:szCs w:val="32"/>
    </w:rPr>
  </w:style>
  <w:style w:type="paragraph" w:styleId="Heading2">
    <w:name w:val="heading 2"/>
    <w:basedOn w:val="Normal"/>
    <w:link w:val="Heading2Char"/>
    <w:uiPriority w:val="1"/>
    <w:semiHidden/>
    <w:unhideWhenUsed/>
    <w:qFormat/>
    <w:rsid w:val="00AD7252"/>
    <w:pPr>
      <w:ind w:left="779"/>
      <w:outlineLvl w:val="1"/>
    </w:pPr>
    <w:rPr>
      <w:rFonts w:ascii="Arial" w:eastAsia="Arial" w:hAnsi="Arial" w:cs="Arial"/>
      <w:b/>
      <w:bCs/>
      <w:sz w:val="24"/>
      <w:szCs w:val="24"/>
    </w:rPr>
  </w:style>
  <w:style w:type="paragraph" w:styleId="Heading5">
    <w:name w:val="heading 5"/>
    <w:basedOn w:val="Normal"/>
    <w:link w:val="Heading5Char"/>
    <w:uiPriority w:val="1"/>
    <w:semiHidden/>
    <w:unhideWhenUsed/>
    <w:qFormat/>
    <w:rsid w:val="00AD7252"/>
    <w:pPr>
      <w:ind w:left="779"/>
      <w:outlineLvl w:val="4"/>
    </w:pPr>
    <w:rPr>
      <w:rFonts w:ascii="Arial" w:eastAsia="Arial" w:hAnsi="Arial" w:cs="Arial"/>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D7252"/>
    <w:rPr>
      <w:rFonts w:ascii="Arial" w:eastAsia="Arial" w:hAnsi="Arial" w:cs="Arial"/>
      <w:b/>
      <w:bCs/>
      <w:sz w:val="32"/>
      <w:szCs w:val="32"/>
      <w:lang w:bidi="en-US"/>
    </w:rPr>
  </w:style>
  <w:style w:type="character" w:customStyle="1" w:styleId="Heading2Char">
    <w:name w:val="Heading 2 Char"/>
    <w:basedOn w:val="DefaultParagraphFont"/>
    <w:link w:val="Heading2"/>
    <w:uiPriority w:val="1"/>
    <w:semiHidden/>
    <w:rsid w:val="00AD7252"/>
    <w:rPr>
      <w:rFonts w:ascii="Arial" w:eastAsia="Arial" w:hAnsi="Arial" w:cs="Arial"/>
      <w:b/>
      <w:bCs/>
      <w:sz w:val="24"/>
      <w:szCs w:val="24"/>
      <w:lang w:bidi="en-US"/>
    </w:rPr>
  </w:style>
  <w:style w:type="character" w:customStyle="1" w:styleId="Heading5Char">
    <w:name w:val="Heading 5 Char"/>
    <w:basedOn w:val="DefaultParagraphFont"/>
    <w:link w:val="Heading5"/>
    <w:uiPriority w:val="1"/>
    <w:semiHidden/>
    <w:rsid w:val="00AD7252"/>
    <w:rPr>
      <w:rFonts w:ascii="Arial" w:eastAsia="Arial" w:hAnsi="Arial" w:cs="Arial"/>
      <w:b/>
      <w:bCs/>
      <w:i/>
      <w:sz w:val="20"/>
      <w:szCs w:val="20"/>
      <w:lang w:bidi="en-US"/>
    </w:rPr>
  </w:style>
  <w:style w:type="paragraph" w:styleId="BodyText">
    <w:name w:val="Body Text"/>
    <w:basedOn w:val="Normal"/>
    <w:link w:val="BodyTextChar"/>
    <w:uiPriority w:val="1"/>
    <w:semiHidden/>
    <w:unhideWhenUsed/>
    <w:qFormat/>
    <w:rsid w:val="00AD7252"/>
    <w:rPr>
      <w:sz w:val="20"/>
      <w:szCs w:val="20"/>
    </w:rPr>
  </w:style>
  <w:style w:type="character" w:customStyle="1" w:styleId="BodyTextChar">
    <w:name w:val="Body Text Char"/>
    <w:basedOn w:val="DefaultParagraphFont"/>
    <w:link w:val="BodyText"/>
    <w:uiPriority w:val="1"/>
    <w:semiHidden/>
    <w:rsid w:val="00AD7252"/>
    <w:rPr>
      <w:rFonts w:ascii="Times New Roman" w:eastAsia="Times New Roman" w:hAnsi="Times New Roman" w:cs="Times New Roman"/>
      <w:sz w:val="20"/>
      <w:szCs w:val="20"/>
      <w:lang w:bidi="en-US"/>
    </w:rPr>
  </w:style>
  <w:style w:type="paragraph" w:styleId="ListParagraph">
    <w:name w:val="List Paragraph"/>
    <w:basedOn w:val="Normal"/>
    <w:uiPriority w:val="1"/>
    <w:qFormat/>
    <w:rsid w:val="00AD7252"/>
    <w:pPr>
      <w:ind w:left="1478" w:hanging="384"/>
    </w:pPr>
  </w:style>
  <w:style w:type="paragraph" w:customStyle="1" w:styleId="TableParagraph">
    <w:name w:val="Table Paragraph"/>
    <w:basedOn w:val="Normal"/>
    <w:uiPriority w:val="1"/>
    <w:qFormat/>
    <w:rsid w:val="00AD7252"/>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065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1269</Words>
  <Characters>7238</Characters>
  <Application>Microsoft Office Word</Application>
  <DocSecurity>0</DocSecurity>
  <Lines>60</Lines>
  <Paragraphs>16</Paragraphs>
  <ScaleCrop>false</ScaleCrop>
  <Company/>
  <LinksUpToDate>false</LinksUpToDate>
  <CharactersWithSpaces>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2020-10-19T08:05:00Z</dcterms:created>
  <dcterms:modified xsi:type="dcterms:W3CDTF">2020-10-19T08:05:00Z</dcterms:modified>
</cp:coreProperties>
</file>