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00" w:rsidRDefault="00E24F00">
      <w:pPr>
        <w:rPr>
          <w:b/>
          <w:sz w:val="48"/>
        </w:rPr>
      </w:pPr>
      <w:r>
        <w:rPr>
          <w:b/>
          <w:sz w:val="28"/>
        </w:rPr>
        <w:pict>
          <v:rect id="_x0000_i1025" style="width:0;height:1.5pt" o:hralign="center" o:hrstd="t" o:hr="t" fillcolor="#aca899" stroked="f"/>
        </w:pict>
      </w:r>
      <w:r>
        <w:rPr>
          <w:b/>
          <w:sz w:val="48"/>
        </w:rPr>
        <w:t>Chapter 1</w:t>
      </w:r>
    </w:p>
    <w:p w:rsidR="00E24F00" w:rsidRDefault="00E24F00">
      <w:pPr>
        <w:rPr>
          <w:b/>
          <w:sz w:val="48"/>
        </w:rPr>
      </w:pPr>
      <w:r>
        <w:rPr>
          <w:b/>
          <w:sz w:val="48"/>
        </w:rPr>
        <w:t xml:space="preserve">A Brief History of Risk </w:t>
      </w:r>
      <w:r w:rsidR="00B53A8B">
        <w:rPr>
          <w:b/>
          <w:sz w:val="48"/>
        </w:rPr>
        <w:t>and</w:t>
      </w:r>
      <w:r>
        <w:rPr>
          <w:b/>
          <w:sz w:val="48"/>
        </w:rPr>
        <w:t xml:space="preserve"> Return</w:t>
      </w:r>
    </w:p>
    <w:p w:rsidR="00E24F00" w:rsidRDefault="00E24F00">
      <w:pPr>
        <w:rPr>
          <w:b/>
          <w:sz w:val="32"/>
        </w:rPr>
      </w:pPr>
      <w:r>
        <w:rPr>
          <w:b/>
          <w:sz w:val="28"/>
        </w:rPr>
        <w:pict>
          <v:rect id="_x0000_i1026" style="width:0;height:1.5pt" o:hralign="center" o:hrstd="t" o:hr="t" fillcolor="#aca899" stroked="f"/>
        </w:pict>
      </w:r>
      <w:r>
        <w:rPr>
          <w:b/>
          <w:sz w:val="32"/>
        </w:rPr>
        <w:br/>
        <w:t>Slides</w:t>
      </w:r>
    </w:p>
    <w:p w:rsidR="00E24F00" w:rsidRDefault="00E24F00">
      <w:pPr>
        <w:rPr>
          <w:b/>
          <w:sz w:val="24"/>
        </w:rPr>
      </w:pP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Pr>
          <w:rFonts w:ascii="Arial" w:hAnsi="Arial" w:cs="Arial"/>
          <w:b/>
          <w:sz w:val="20"/>
          <w:szCs w:val="20"/>
        </w:rPr>
        <w:t xml:space="preserve">             </w:t>
      </w:r>
      <w:r w:rsidRPr="0099388C">
        <w:rPr>
          <w:rFonts w:ascii="Arial" w:hAnsi="Arial" w:cs="Arial"/>
          <w:b/>
          <w:sz w:val="20"/>
          <w:szCs w:val="20"/>
        </w:rPr>
        <w:t>Chapter 1</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Pr>
          <w:rFonts w:ascii="Arial" w:hAnsi="Arial" w:cs="Arial"/>
          <w:b/>
          <w:sz w:val="20"/>
          <w:szCs w:val="20"/>
        </w:rPr>
        <w:t xml:space="preserve">             </w:t>
      </w:r>
      <w:r w:rsidRPr="0099388C">
        <w:rPr>
          <w:rFonts w:ascii="Arial" w:hAnsi="Arial" w:cs="Arial"/>
          <w:b/>
          <w:sz w:val="20"/>
          <w:szCs w:val="20"/>
        </w:rPr>
        <w:t>A Brief History of Risk and Return</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Pr>
          <w:rFonts w:ascii="Arial" w:hAnsi="Arial" w:cs="Arial"/>
          <w:b/>
          <w:sz w:val="20"/>
          <w:szCs w:val="20"/>
        </w:rPr>
        <w:t xml:space="preserve">             </w:t>
      </w:r>
      <w:r w:rsidRPr="0099388C">
        <w:rPr>
          <w:rFonts w:ascii="Arial" w:hAnsi="Arial" w:cs="Arial"/>
          <w:b/>
          <w:sz w:val="20"/>
          <w:szCs w:val="20"/>
        </w:rPr>
        <w:t>Learning Objectives</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Pr>
          <w:rFonts w:ascii="Arial" w:hAnsi="Arial" w:cs="Arial"/>
          <w:b/>
          <w:sz w:val="20"/>
          <w:szCs w:val="20"/>
        </w:rPr>
        <w:t xml:space="preserve">             </w:t>
      </w:r>
      <w:r w:rsidRPr="0099388C">
        <w:rPr>
          <w:rFonts w:ascii="Arial" w:hAnsi="Arial" w:cs="Arial"/>
          <w:b/>
          <w:sz w:val="20"/>
          <w:szCs w:val="20"/>
        </w:rPr>
        <w:t>Example I: Who Wants To Be A Millionaire?</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Pr>
          <w:rFonts w:ascii="Arial" w:hAnsi="Arial" w:cs="Arial"/>
          <w:b/>
          <w:sz w:val="20"/>
          <w:szCs w:val="20"/>
        </w:rPr>
        <w:t xml:space="preserve">             </w:t>
      </w:r>
      <w:r w:rsidRPr="0099388C">
        <w:rPr>
          <w:rFonts w:ascii="Arial" w:hAnsi="Arial" w:cs="Arial"/>
          <w:b/>
          <w:sz w:val="20"/>
          <w:szCs w:val="20"/>
        </w:rPr>
        <w:t>Example II: Who Wants To Be A Millionaire?</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Pr>
          <w:rFonts w:ascii="Arial" w:hAnsi="Arial" w:cs="Arial"/>
          <w:b/>
          <w:sz w:val="20"/>
          <w:szCs w:val="20"/>
        </w:rPr>
        <w:t xml:space="preserve">             </w:t>
      </w:r>
      <w:r w:rsidRPr="0099388C">
        <w:rPr>
          <w:rFonts w:ascii="Arial" w:hAnsi="Arial" w:cs="Arial"/>
          <w:b/>
          <w:sz w:val="20"/>
          <w:szCs w:val="20"/>
        </w:rPr>
        <w:t>A Brief History of Risk and Return</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Pr>
          <w:rFonts w:ascii="Arial" w:hAnsi="Arial" w:cs="Arial"/>
          <w:b/>
          <w:sz w:val="20"/>
          <w:szCs w:val="20"/>
        </w:rPr>
        <w:t xml:space="preserve">             </w:t>
      </w:r>
      <w:r w:rsidRPr="0099388C">
        <w:rPr>
          <w:rFonts w:ascii="Arial" w:hAnsi="Arial" w:cs="Arial"/>
          <w:b/>
          <w:sz w:val="20"/>
          <w:szCs w:val="20"/>
        </w:rPr>
        <w:t>Dollar Returns</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Pr>
          <w:rFonts w:ascii="Arial" w:hAnsi="Arial" w:cs="Arial"/>
          <w:b/>
          <w:sz w:val="20"/>
          <w:szCs w:val="20"/>
        </w:rPr>
        <w:t xml:space="preserve">             </w:t>
      </w:r>
      <w:r w:rsidRPr="0099388C">
        <w:rPr>
          <w:rFonts w:ascii="Arial" w:hAnsi="Arial" w:cs="Arial"/>
          <w:b/>
          <w:sz w:val="20"/>
          <w:szCs w:val="20"/>
        </w:rPr>
        <w:t>Percent Returns</w:t>
      </w:r>
    </w:p>
    <w:p w:rsidR="0099388C" w:rsidRPr="0099388C" w:rsidRDefault="0099388C" w:rsidP="0099388C">
      <w:pPr>
        <w:pStyle w:val="ListParagraph"/>
        <w:numPr>
          <w:ilvl w:val="1"/>
          <w:numId w:val="40"/>
        </w:numPr>
        <w:spacing w:after="0" w:line="240" w:lineRule="auto"/>
        <w:ind w:left="1440" w:hanging="1080"/>
        <w:rPr>
          <w:rFonts w:ascii="Arial" w:hAnsi="Arial" w:cs="Arial"/>
          <w:b/>
          <w:sz w:val="20"/>
          <w:szCs w:val="20"/>
        </w:rPr>
      </w:pPr>
      <w:r>
        <w:rPr>
          <w:rFonts w:ascii="Arial" w:hAnsi="Arial" w:cs="Arial"/>
          <w:b/>
          <w:sz w:val="20"/>
          <w:szCs w:val="20"/>
        </w:rPr>
        <w:t xml:space="preserve">             </w:t>
      </w:r>
      <w:r w:rsidRPr="0099388C">
        <w:rPr>
          <w:rFonts w:ascii="Arial" w:hAnsi="Arial" w:cs="Arial"/>
          <w:b/>
          <w:sz w:val="20"/>
          <w:szCs w:val="20"/>
        </w:rPr>
        <w:t>Example 1.1: Concannon Plastics Calculating Total Dollar and Total Percent Returns</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Annualizing Returns, I</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Annualizing Returns, II</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A $1 Investment in Different Types of Portfolios, 1926—2015</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Financial Market History, 1801-2015</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The Historical Record: Total Returns on Large-Company Stocks</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The Historical Record: Total Returns on Small-Company Stocks</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The Historical Record: Total Returns on Long-term U.S. Bonds</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The Historical Record: Total Returns on U.S. T-bills</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The Historical Record: Inflation</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Historical Average Returns</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 xml:space="preserve">Average Annual Returns for Five Portfolios and Inflation, 1926—2015 </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2008: The Bear Growled and Investors Howled</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World Stock Market Capitalization</w:t>
      </w:r>
    </w:p>
    <w:p w:rsidR="0099388C" w:rsidRPr="0099388C" w:rsidRDefault="0099388C" w:rsidP="0099388C">
      <w:pPr>
        <w:pStyle w:val="ListParagraph"/>
        <w:numPr>
          <w:ilvl w:val="1"/>
          <w:numId w:val="40"/>
        </w:numPr>
        <w:spacing w:after="0" w:line="240" w:lineRule="auto"/>
        <w:ind w:left="1440" w:hanging="1080"/>
        <w:rPr>
          <w:rFonts w:ascii="Arial" w:hAnsi="Arial" w:cs="Arial"/>
          <w:b/>
          <w:sz w:val="20"/>
          <w:szCs w:val="20"/>
        </w:rPr>
      </w:pPr>
      <w:r w:rsidRPr="0099388C">
        <w:rPr>
          <w:rFonts w:ascii="Arial" w:hAnsi="Arial" w:cs="Arial"/>
          <w:b/>
          <w:sz w:val="20"/>
          <w:szCs w:val="20"/>
        </w:rPr>
        <w:t xml:space="preserve">Average Annual Returns and Risk Premiums for Five Portfolios, 1926—2015 </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Average Returns: The First Lesson</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Why Does a Risk Premium Exist?</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Return Variability Review and Concepts</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Frequency Distribution of Returns on Common Stocks, 1926—2015</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Return Variability: The Statistical Tools</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Example: Calculating Historical Variance and Standard Deviation</w:t>
      </w:r>
    </w:p>
    <w:p w:rsidR="0099388C" w:rsidRPr="0099388C" w:rsidRDefault="0099388C" w:rsidP="0099388C">
      <w:pPr>
        <w:pStyle w:val="ListParagraph"/>
        <w:numPr>
          <w:ilvl w:val="1"/>
          <w:numId w:val="40"/>
        </w:numPr>
        <w:spacing w:after="0" w:line="240" w:lineRule="auto"/>
        <w:ind w:left="1440" w:hanging="1080"/>
        <w:rPr>
          <w:rFonts w:ascii="Arial" w:hAnsi="Arial" w:cs="Arial"/>
          <w:b/>
          <w:sz w:val="20"/>
          <w:szCs w:val="20"/>
        </w:rPr>
      </w:pPr>
      <w:r w:rsidRPr="0099388C">
        <w:rPr>
          <w:rFonts w:ascii="Arial" w:hAnsi="Arial" w:cs="Arial"/>
          <w:b/>
          <w:sz w:val="20"/>
          <w:szCs w:val="20"/>
        </w:rPr>
        <w:t>Historical Returns, Standard Deviations, and Frequency Distributions: 1926—2015</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The Normal Distribution and Large Company Stock Returns</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Good Times for the Dow Jones Index</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Bad Times for the Dow Jones Index</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Arithmetic Averages versus Geometric Averages</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Example: Calculating a Geometric Average Return</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 xml:space="preserve">Geometric versus Arithmetic Averages, 1926—2015 </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Arithmetic Averages versus Geometric Averages</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Dollar-Weighted Average Returns, I</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Dollar-Weighted Average Returns, II</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Dollar-Weighted Average Returns and IRR</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Risk and Return</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Historical Risk and Return Trade-Off</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A Look Ahead</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lastRenderedPageBreak/>
        <w:t>Useful Internet Sites</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Chapter Review, I</w:t>
      </w:r>
    </w:p>
    <w:p w:rsidR="0099388C" w:rsidRPr="0099388C" w:rsidRDefault="0099388C" w:rsidP="0099388C">
      <w:pPr>
        <w:pStyle w:val="ListParagraph"/>
        <w:numPr>
          <w:ilvl w:val="1"/>
          <w:numId w:val="40"/>
        </w:numPr>
        <w:spacing w:after="0" w:line="240" w:lineRule="auto"/>
        <w:ind w:left="360"/>
        <w:rPr>
          <w:rFonts w:ascii="Arial" w:hAnsi="Arial" w:cs="Arial"/>
          <w:b/>
          <w:sz w:val="20"/>
          <w:szCs w:val="20"/>
        </w:rPr>
      </w:pPr>
      <w:r w:rsidRPr="0099388C">
        <w:rPr>
          <w:rFonts w:ascii="Arial" w:hAnsi="Arial" w:cs="Arial"/>
          <w:b/>
          <w:sz w:val="20"/>
          <w:szCs w:val="20"/>
        </w:rPr>
        <w:t>Chapter Review, II</w:t>
      </w:r>
    </w:p>
    <w:p w:rsidR="0099388C" w:rsidRDefault="0099388C" w:rsidP="0099388C">
      <w:pPr>
        <w:pStyle w:val="Heading1"/>
        <w:jc w:val="left"/>
        <w:rPr>
          <w:rFonts w:ascii="Arial" w:hAnsi="Arial" w:cs="Arial"/>
          <w:sz w:val="32"/>
          <w:szCs w:val="32"/>
        </w:rPr>
      </w:pPr>
    </w:p>
    <w:p w:rsidR="00E24F00" w:rsidRDefault="00E24F00" w:rsidP="0099388C">
      <w:pPr>
        <w:pStyle w:val="Heading1"/>
        <w:jc w:val="left"/>
        <w:rPr>
          <w:rFonts w:ascii="Arial" w:hAnsi="Arial" w:cs="Arial"/>
          <w:sz w:val="32"/>
          <w:szCs w:val="32"/>
        </w:rPr>
      </w:pPr>
      <w:r>
        <w:rPr>
          <w:rFonts w:ascii="Arial" w:hAnsi="Arial" w:cs="Arial"/>
          <w:sz w:val="32"/>
          <w:szCs w:val="32"/>
        </w:rPr>
        <w:t>Chapter Organization</w:t>
      </w:r>
    </w:p>
    <w:p w:rsidR="00E24F00" w:rsidRDefault="00E24F00">
      <w:pPr>
        <w:rPr>
          <w:b/>
          <w:sz w:val="24"/>
        </w:rPr>
      </w:pPr>
    </w:p>
    <w:p w:rsidR="00E24F00" w:rsidRDefault="00E24F00">
      <w:pPr>
        <w:numPr>
          <w:ilvl w:val="0"/>
          <w:numId w:val="30"/>
        </w:numPr>
        <w:rPr>
          <w:b/>
          <w:sz w:val="24"/>
        </w:rPr>
      </w:pPr>
      <w:r>
        <w:rPr>
          <w:b/>
          <w:sz w:val="24"/>
        </w:rPr>
        <w:t>Returns</w:t>
      </w:r>
    </w:p>
    <w:p w:rsidR="00E24F00" w:rsidRDefault="00E24F00">
      <w:pPr>
        <w:numPr>
          <w:ilvl w:val="1"/>
          <w:numId w:val="30"/>
        </w:numPr>
        <w:tabs>
          <w:tab w:val="clear" w:pos="720"/>
          <w:tab w:val="num" w:pos="1080"/>
        </w:tabs>
        <w:ind w:firstLine="0"/>
        <w:rPr>
          <w:b/>
          <w:sz w:val="24"/>
        </w:rPr>
      </w:pPr>
      <w:r>
        <w:rPr>
          <w:b/>
          <w:sz w:val="24"/>
        </w:rPr>
        <w:t>Dollar Returns</w:t>
      </w:r>
    </w:p>
    <w:p w:rsidR="00E24F00" w:rsidRDefault="00E24F00" w:rsidP="00E027BD">
      <w:pPr>
        <w:numPr>
          <w:ilvl w:val="1"/>
          <w:numId w:val="30"/>
        </w:numPr>
        <w:tabs>
          <w:tab w:val="clear" w:pos="720"/>
          <w:tab w:val="num" w:pos="1080"/>
        </w:tabs>
        <w:ind w:firstLine="0"/>
        <w:rPr>
          <w:b/>
          <w:sz w:val="24"/>
        </w:rPr>
      </w:pPr>
      <w:r>
        <w:rPr>
          <w:b/>
          <w:sz w:val="24"/>
        </w:rPr>
        <w:t>Percentage Returns</w:t>
      </w:r>
    </w:p>
    <w:p w:rsidR="00E027BD" w:rsidRDefault="00E027BD" w:rsidP="00E027BD">
      <w:pPr>
        <w:numPr>
          <w:ilvl w:val="1"/>
          <w:numId w:val="30"/>
        </w:numPr>
        <w:tabs>
          <w:tab w:val="clear" w:pos="720"/>
          <w:tab w:val="num" w:pos="1080"/>
        </w:tabs>
        <w:ind w:firstLine="0"/>
        <w:rPr>
          <w:b/>
          <w:sz w:val="24"/>
        </w:rPr>
      </w:pPr>
      <w:r>
        <w:rPr>
          <w:b/>
          <w:sz w:val="24"/>
        </w:rPr>
        <w:t>A Note on Annualizing Returns</w:t>
      </w:r>
    </w:p>
    <w:p w:rsidR="00E24F00" w:rsidRDefault="00E24F00">
      <w:pPr>
        <w:numPr>
          <w:ilvl w:val="0"/>
          <w:numId w:val="30"/>
        </w:numPr>
        <w:rPr>
          <w:b/>
          <w:sz w:val="28"/>
        </w:rPr>
      </w:pPr>
      <w:r>
        <w:rPr>
          <w:b/>
          <w:sz w:val="24"/>
        </w:rPr>
        <w:t>The Historical Record</w:t>
      </w:r>
    </w:p>
    <w:p w:rsidR="00E24F00" w:rsidRDefault="00E24F00">
      <w:pPr>
        <w:numPr>
          <w:ilvl w:val="2"/>
          <w:numId w:val="30"/>
        </w:numPr>
        <w:rPr>
          <w:b/>
          <w:sz w:val="24"/>
        </w:rPr>
      </w:pPr>
      <w:r>
        <w:rPr>
          <w:b/>
          <w:sz w:val="24"/>
        </w:rPr>
        <w:t>A First Look</w:t>
      </w:r>
    </w:p>
    <w:p w:rsidR="00E24F00" w:rsidRDefault="00E24F00">
      <w:pPr>
        <w:numPr>
          <w:ilvl w:val="2"/>
          <w:numId w:val="30"/>
        </w:numPr>
        <w:rPr>
          <w:b/>
          <w:sz w:val="24"/>
        </w:rPr>
      </w:pPr>
      <w:r>
        <w:rPr>
          <w:b/>
          <w:sz w:val="24"/>
        </w:rPr>
        <w:t>A Longer Range Look</w:t>
      </w:r>
    </w:p>
    <w:p w:rsidR="00E24F00" w:rsidRDefault="00E24F00">
      <w:pPr>
        <w:numPr>
          <w:ilvl w:val="2"/>
          <w:numId w:val="30"/>
        </w:numPr>
        <w:rPr>
          <w:b/>
          <w:sz w:val="24"/>
        </w:rPr>
      </w:pPr>
      <w:r>
        <w:rPr>
          <w:b/>
          <w:sz w:val="24"/>
        </w:rPr>
        <w:t>A Closer Look</w:t>
      </w:r>
    </w:p>
    <w:p w:rsidR="00E027BD" w:rsidRDefault="00E027BD">
      <w:pPr>
        <w:numPr>
          <w:ilvl w:val="2"/>
          <w:numId w:val="30"/>
        </w:numPr>
        <w:rPr>
          <w:b/>
          <w:sz w:val="24"/>
        </w:rPr>
      </w:pPr>
      <w:r>
        <w:rPr>
          <w:b/>
          <w:sz w:val="24"/>
        </w:rPr>
        <w:t>2008: The Bear Growled and Investors Howled</w:t>
      </w:r>
    </w:p>
    <w:p w:rsidR="00E24F00" w:rsidRDefault="00E24F00">
      <w:pPr>
        <w:numPr>
          <w:ilvl w:val="0"/>
          <w:numId w:val="30"/>
        </w:numPr>
        <w:rPr>
          <w:b/>
          <w:sz w:val="24"/>
        </w:rPr>
      </w:pPr>
      <w:r>
        <w:rPr>
          <w:b/>
          <w:sz w:val="24"/>
        </w:rPr>
        <w:t>Average Returns: The First Lesson</w:t>
      </w:r>
    </w:p>
    <w:p w:rsidR="00E24F00" w:rsidRDefault="00E24F00">
      <w:pPr>
        <w:numPr>
          <w:ilvl w:val="2"/>
          <w:numId w:val="30"/>
        </w:numPr>
        <w:rPr>
          <w:b/>
          <w:sz w:val="24"/>
        </w:rPr>
      </w:pPr>
      <w:r>
        <w:rPr>
          <w:b/>
          <w:sz w:val="24"/>
        </w:rPr>
        <w:t>Calculating Average Returns</w:t>
      </w:r>
    </w:p>
    <w:p w:rsidR="00E24F00" w:rsidRDefault="00E24F00">
      <w:pPr>
        <w:numPr>
          <w:ilvl w:val="2"/>
          <w:numId w:val="30"/>
        </w:numPr>
        <w:rPr>
          <w:b/>
          <w:sz w:val="24"/>
        </w:rPr>
      </w:pPr>
      <w:r>
        <w:rPr>
          <w:b/>
          <w:sz w:val="24"/>
        </w:rPr>
        <w:t>Average Returns: The Historical Record</w:t>
      </w:r>
    </w:p>
    <w:p w:rsidR="00E24F00" w:rsidRDefault="00E24F00">
      <w:pPr>
        <w:numPr>
          <w:ilvl w:val="2"/>
          <w:numId w:val="30"/>
        </w:numPr>
        <w:rPr>
          <w:b/>
          <w:sz w:val="24"/>
        </w:rPr>
      </w:pPr>
      <w:r>
        <w:rPr>
          <w:b/>
          <w:sz w:val="24"/>
        </w:rPr>
        <w:t>Risk Premiums</w:t>
      </w:r>
    </w:p>
    <w:p w:rsidR="00E24F00" w:rsidRDefault="00E24F00">
      <w:pPr>
        <w:numPr>
          <w:ilvl w:val="2"/>
          <w:numId w:val="30"/>
        </w:numPr>
        <w:rPr>
          <w:b/>
          <w:sz w:val="24"/>
        </w:rPr>
      </w:pPr>
      <w:r>
        <w:rPr>
          <w:b/>
          <w:sz w:val="24"/>
        </w:rPr>
        <w:t>The First Lesson</w:t>
      </w:r>
    </w:p>
    <w:p w:rsidR="00E24F00" w:rsidRDefault="00E24F00">
      <w:pPr>
        <w:numPr>
          <w:ilvl w:val="0"/>
          <w:numId w:val="30"/>
        </w:numPr>
        <w:rPr>
          <w:b/>
          <w:sz w:val="24"/>
        </w:rPr>
      </w:pPr>
      <w:r>
        <w:rPr>
          <w:b/>
          <w:sz w:val="24"/>
        </w:rPr>
        <w:t>Return Variability: The Second Lesson</w:t>
      </w:r>
    </w:p>
    <w:p w:rsidR="00E24F00" w:rsidRDefault="00E24F00">
      <w:pPr>
        <w:numPr>
          <w:ilvl w:val="2"/>
          <w:numId w:val="30"/>
        </w:numPr>
        <w:rPr>
          <w:b/>
          <w:sz w:val="24"/>
        </w:rPr>
      </w:pPr>
      <w:r>
        <w:rPr>
          <w:b/>
          <w:sz w:val="24"/>
        </w:rPr>
        <w:t>Frequency Distributions and Variability</w:t>
      </w:r>
    </w:p>
    <w:p w:rsidR="00E24F00" w:rsidRDefault="00E24F00">
      <w:pPr>
        <w:numPr>
          <w:ilvl w:val="2"/>
          <w:numId w:val="30"/>
        </w:numPr>
        <w:rPr>
          <w:b/>
          <w:sz w:val="24"/>
        </w:rPr>
      </w:pPr>
      <w:r>
        <w:rPr>
          <w:b/>
          <w:sz w:val="24"/>
        </w:rPr>
        <w:t>The Historical Variance and Standard Deviation</w:t>
      </w:r>
    </w:p>
    <w:p w:rsidR="00E24F00" w:rsidRDefault="00E24F00">
      <w:pPr>
        <w:numPr>
          <w:ilvl w:val="2"/>
          <w:numId w:val="30"/>
        </w:numPr>
        <w:rPr>
          <w:b/>
          <w:sz w:val="24"/>
        </w:rPr>
      </w:pPr>
      <w:r>
        <w:rPr>
          <w:b/>
          <w:sz w:val="24"/>
        </w:rPr>
        <w:t>The Historical Record</w:t>
      </w:r>
    </w:p>
    <w:p w:rsidR="00E24F00" w:rsidRDefault="00E24F00">
      <w:pPr>
        <w:numPr>
          <w:ilvl w:val="2"/>
          <w:numId w:val="30"/>
        </w:numPr>
        <w:rPr>
          <w:b/>
          <w:sz w:val="24"/>
        </w:rPr>
      </w:pPr>
      <w:r>
        <w:rPr>
          <w:b/>
          <w:sz w:val="24"/>
        </w:rPr>
        <w:t>Normal Distribution</w:t>
      </w:r>
    </w:p>
    <w:p w:rsidR="00E24F00" w:rsidRDefault="00E24F00">
      <w:pPr>
        <w:numPr>
          <w:ilvl w:val="2"/>
          <w:numId w:val="30"/>
        </w:numPr>
        <w:rPr>
          <w:b/>
          <w:sz w:val="24"/>
        </w:rPr>
      </w:pPr>
      <w:r>
        <w:rPr>
          <w:b/>
          <w:sz w:val="24"/>
        </w:rPr>
        <w:t>The Second Lesson</w:t>
      </w:r>
    </w:p>
    <w:p w:rsidR="00E24F00" w:rsidRDefault="00E24F00">
      <w:pPr>
        <w:numPr>
          <w:ilvl w:val="0"/>
          <w:numId w:val="30"/>
        </w:numPr>
        <w:rPr>
          <w:b/>
          <w:sz w:val="24"/>
        </w:rPr>
      </w:pPr>
      <w:r>
        <w:rPr>
          <w:b/>
          <w:sz w:val="24"/>
        </w:rPr>
        <w:t>More on Average Returns</w:t>
      </w:r>
    </w:p>
    <w:p w:rsidR="00E24F00" w:rsidRDefault="00E24F00">
      <w:pPr>
        <w:numPr>
          <w:ilvl w:val="2"/>
          <w:numId w:val="30"/>
        </w:numPr>
        <w:rPr>
          <w:b/>
          <w:sz w:val="24"/>
        </w:rPr>
      </w:pPr>
      <w:r>
        <w:rPr>
          <w:b/>
          <w:sz w:val="24"/>
        </w:rPr>
        <w:t>Arithmetic versus Geometric Averages</w:t>
      </w:r>
    </w:p>
    <w:p w:rsidR="00E24F00" w:rsidRDefault="00E24F00">
      <w:pPr>
        <w:numPr>
          <w:ilvl w:val="2"/>
          <w:numId w:val="30"/>
        </w:numPr>
        <w:rPr>
          <w:b/>
          <w:sz w:val="24"/>
        </w:rPr>
      </w:pPr>
      <w:r>
        <w:rPr>
          <w:b/>
          <w:sz w:val="24"/>
        </w:rPr>
        <w:t>Calculating Geometric Average Returns</w:t>
      </w:r>
    </w:p>
    <w:p w:rsidR="00E24F00" w:rsidRDefault="00E24F00">
      <w:pPr>
        <w:numPr>
          <w:ilvl w:val="2"/>
          <w:numId w:val="30"/>
        </w:numPr>
        <w:rPr>
          <w:b/>
          <w:sz w:val="24"/>
        </w:rPr>
      </w:pPr>
      <w:r>
        <w:rPr>
          <w:b/>
          <w:sz w:val="24"/>
        </w:rPr>
        <w:t>Arithmetic Average Return or Geometric Average Return?</w:t>
      </w:r>
    </w:p>
    <w:p w:rsidR="00E027BD" w:rsidRDefault="00E027BD">
      <w:pPr>
        <w:numPr>
          <w:ilvl w:val="2"/>
          <w:numId w:val="30"/>
        </w:numPr>
        <w:rPr>
          <w:b/>
          <w:sz w:val="24"/>
        </w:rPr>
      </w:pPr>
      <w:r>
        <w:rPr>
          <w:b/>
          <w:sz w:val="24"/>
        </w:rPr>
        <w:t>Doll</w:t>
      </w:r>
      <w:r w:rsidR="00DE1A35">
        <w:rPr>
          <w:b/>
          <w:sz w:val="24"/>
        </w:rPr>
        <w:t>ar-</w:t>
      </w:r>
      <w:r>
        <w:rPr>
          <w:b/>
          <w:sz w:val="24"/>
        </w:rPr>
        <w:t>Weighted Average Returns</w:t>
      </w:r>
    </w:p>
    <w:p w:rsidR="00E24F00" w:rsidRDefault="00E24F00">
      <w:pPr>
        <w:numPr>
          <w:ilvl w:val="0"/>
          <w:numId w:val="30"/>
        </w:numPr>
        <w:rPr>
          <w:b/>
          <w:sz w:val="24"/>
        </w:rPr>
      </w:pPr>
      <w:r>
        <w:rPr>
          <w:b/>
          <w:sz w:val="24"/>
        </w:rPr>
        <w:t>Risk and Return</w:t>
      </w:r>
    </w:p>
    <w:p w:rsidR="00E24F00" w:rsidRDefault="00E24F00">
      <w:pPr>
        <w:numPr>
          <w:ilvl w:val="2"/>
          <w:numId w:val="30"/>
        </w:numPr>
        <w:rPr>
          <w:b/>
          <w:sz w:val="24"/>
        </w:rPr>
      </w:pPr>
      <w:r>
        <w:rPr>
          <w:b/>
          <w:sz w:val="24"/>
        </w:rPr>
        <w:t>The Risk-Return Trade-off</w:t>
      </w:r>
    </w:p>
    <w:p w:rsidR="00E24F00" w:rsidRDefault="00E24F00">
      <w:pPr>
        <w:numPr>
          <w:ilvl w:val="2"/>
          <w:numId w:val="30"/>
        </w:numPr>
        <w:rPr>
          <w:b/>
          <w:sz w:val="24"/>
        </w:rPr>
      </w:pPr>
      <w:r>
        <w:rPr>
          <w:b/>
          <w:sz w:val="24"/>
        </w:rPr>
        <w:t>A Look Ahead</w:t>
      </w:r>
    </w:p>
    <w:p w:rsidR="00E24F00" w:rsidRDefault="00E24F00">
      <w:pPr>
        <w:numPr>
          <w:ilvl w:val="0"/>
          <w:numId w:val="30"/>
        </w:numPr>
        <w:rPr>
          <w:b/>
          <w:sz w:val="24"/>
        </w:rPr>
      </w:pPr>
      <w:r>
        <w:rPr>
          <w:b/>
          <w:sz w:val="24"/>
        </w:rPr>
        <w:t>Summary and Conclusions</w:t>
      </w:r>
    </w:p>
    <w:p w:rsidR="00E24F00" w:rsidRDefault="00E24F00">
      <w:pPr>
        <w:rPr>
          <w:b/>
          <w:sz w:val="24"/>
        </w:rPr>
      </w:pPr>
    </w:p>
    <w:p w:rsidR="00E24F00" w:rsidRDefault="00E24F00">
      <w:pPr>
        <w:rPr>
          <w:b/>
          <w:sz w:val="24"/>
        </w:rPr>
      </w:pPr>
    </w:p>
    <w:p w:rsidR="00E24F00" w:rsidRDefault="00E24F00">
      <w:pP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in;height:7.2pt" o:hrpct="0" o:hralign="center" o:hr="t">
            <v:imagedata r:id="rId8" o:title="yenvkzqh%5b1%5d"/>
          </v:shape>
        </w:pict>
      </w:r>
    </w:p>
    <w:p w:rsidR="00E24F00" w:rsidRDefault="00E24F00">
      <w:pPr>
        <w:rPr>
          <w:b/>
          <w:sz w:val="32"/>
          <w:szCs w:val="32"/>
        </w:rPr>
      </w:pPr>
      <w:r>
        <w:rPr>
          <w:b/>
          <w:sz w:val="32"/>
          <w:szCs w:val="32"/>
        </w:rPr>
        <w:t>Selected Web Sites</w:t>
      </w:r>
    </w:p>
    <w:p w:rsidR="00E24F00" w:rsidRDefault="00E24F00">
      <w:pPr>
        <w:jc w:val="center"/>
        <w:rPr>
          <w:b/>
          <w:color w:val="000000"/>
          <w:sz w:val="24"/>
        </w:rPr>
      </w:pPr>
    </w:p>
    <w:p w:rsidR="000D7891" w:rsidRPr="003F28BA" w:rsidRDefault="000D7891" w:rsidP="000D7891">
      <w:pPr>
        <w:pStyle w:val="Heading3"/>
        <w:numPr>
          <w:ilvl w:val="0"/>
          <w:numId w:val="37"/>
        </w:numPr>
        <w:ind w:left="675" w:hanging="720"/>
        <w:rPr>
          <w:rFonts w:ascii="Arial" w:hAnsi="Arial"/>
          <w:sz w:val="24"/>
        </w:rPr>
      </w:pPr>
      <w:hyperlink r:id="rId9" w:history="1">
        <w:r w:rsidRPr="003F28BA">
          <w:rPr>
            <w:rStyle w:val="Hyperlink"/>
            <w:rFonts w:ascii="Arial" w:hAnsi="Arial"/>
            <w:color w:val="auto"/>
            <w:sz w:val="24"/>
            <w:u w:val="none"/>
          </w:rPr>
          <w:t>finance.ya</w:t>
        </w:r>
        <w:r w:rsidRPr="003F28BA">
          <w:rPr>
            <w:rStyle w:val="Hyperlink"/>
            <w:rFonts w:ascii="Arial" w:hAnsi="Arial"/>
            <w:color w:val="auto"/>
            <w:sz w:val="24"/>
            <w:u w:val="none"/>
          </w:rPr>
          <w:t>hoo.com</w:t>
        </w:r>
      </w:hyperlink>
      <w:r w:rsidRPr="003F28BA">
        <w:rPr>
          <w:rFonts w:ascii="Arial" w:hAnsi="Arial"/>
          <w:sz w:val="24"/>
        </w:rPr>
        <w:t xml:space="preserve"> (reference for authors’ favorite financial web site)</w:t>
      </w:r>
    </w:p>
    <w:p w:rsidR="000D7891" w:rsidRPr="003F28BA" w:rsidRDefault="000D7891" w:rsidP="000D7891">
      <w:pPr>
        <w:numPr>
          <w:ilvl w:val="0"/>
          <w:numId w:val="37"/>
        </w:numPr>
        <w:ind w:left="675" w:hanging="720"/>
      </w:pPr>
      <w:hyperlink r:id="rId10" w:history="1">
        <w:r w:rsidRPr="003F28BA">
          <w:rPr>
            <w:rStyle w:val="Hyperlink"/>
            <w:color w:val="auto"/>
            <w:sz w:val="24"/>
            <w:u w:val="none"/>
          </w:rPr>
          <w:t>www.gl</w:t>
        </w:r>
        <w:r w:rsidRPr="003F28BA">
          <w:rPr>
            <w:rStyle w:val="Hyperlink"/>
            <w:color w:val="auto"/>
            <w:sz w:val="24"/>
            <w:u w:val="none"/>
          </w:rPr>
          <w:t>obalfinancialdat</w:t>
        </w:r>
        <w:r w:rsidRPr="003F28BA">
          <w:rPr>
            <w:rStyle w:val="Hyperlink"/>
            <w:color w:val="auto"/>
            <w:sz w:val="24"/>
            <w:u w:val="none"/>
          </w:rPr>
          <w:t>a.com</w:t>
        </w:r>
      </w:hyperlink>
      <w:r w:rsidRPr="003F28BA">
        <w:rPr>
          <w:sz w:val="24"/>
        </w:rPr>
        <w:t xml:space="preserve"> (reference for historical financial market data—not free)</w:t>
      </w:r>
    </w:p>
    <w:p w:rsidR="000D7891" w:rsidRPr="003F28BA" w:rsidRDefault="004F6D67" w:rsidP="000D7891">
      <w:pPr>
        <w:numPr>
          <w:ilvl w:val="0"/>
          <w:numId w:val="37"/>
        </w:numPr>
        <w:ind w:left="675" w:hanging="720"/>
      </w:pPr>
      <w:hyperlink r:id="rId11" w:history="1">
        <w:r w:rsidRPr="0071141C">
          <w:rPr>
            <w:rStyle w:val="Hyperlink"/>
            <w:sz w:val="24"/>
          </w:rPr>
          <w:t>w</w:t>
        </w:r>
        <w:r w:rsidRPr="0071141C">
          <w:rPr>
            <w:rStyle w:val="Hyperlink"/>
            <w:sz w:val="24"/>
          </w:rPr>
          <w:t>ww.mhhe.</w:t>
        </w:r>
        <w:r w:rsidRPr="0071141C">
          <w:rPr>
            <w:rStyle w:val="Hyperlink"/>
            <w:sz w:val="24"/>
          </w:rPr>
          <w:t>com/jmd8e</w:t>
        </w:r>
      </w:hyperlink>
      <w:r w:rsidR="000D7891">
        <w:rPr>
          <w:sz w:val="24"/>
        </w:rPr>
        <w:t xml:space="preserve"> (the website for this text)</w:t>
      </w:r>
    </w:p>
    <w:p w:rsidR="00E24F00" w:rsidRDefault="00E24F00"/>
    <w:p w:rsidR="00E24F00" w:rsidRDefault="00E24F00">
      <w:pPr>
        <w:rPr>
          <w:sz w:val="24"/>
        </w:rPr>
      </w:pPr>
      <w:r>
        <w:rPr>
          <w:b/>
          <w:sz w:val="24"/>
        </w:rPr>
        <w:pict>
          <v:shape id="_x0000_i1028" type="#_x0000_t75" style="width:6in;height:7.2pt" o:hrpct="0" o:hralign="center" o:hr="t">
            <v:imagedata r:id="rId8" o:title="yenvkzqh%5b1%5d"/>
          </v:shape>
        </w:pict>
      </w:r>
    </w:p>
    <w:p w:rsidR="00E24F00" w:rsidRDefault="007155C6">
      <w:pPr>
        <w:rPr>
          <w:b/>
          <w:sz w:val="32"/>
        </w:rPr>
      </w:pPr>
      <w:r>
        <w:rPr>
          <w:b/>
          <w:sz w:val="32"/>
        </w:rPr>
        <w:br w:type="page"/>
      </w:r>
      <w:r w:rsidR="00E24F00">
        <w:rPr>
          <w:b/>
          <w:sz w:val="32"/>
        </w:rPr>
        <w:lastRenderedPageBreak/>
        <w:t>Annotated Chapter Outline</w:t>
      </w:r>
    </w:p>
    <w:p w:rsidR="00E24F00" w:rsidRDefault="00E24F00">
      <w:pPr>
        <w:rPr>
          <w:b/>
          <w:sz w:val="24"/>
        </w:rPr>
      </w:pPr>
    </w:p>
    <w:p w:rsidR="00E24F00" w:rsidRDefault="00E24F00">
      <w:pPr>
        <w:numPr>
          <w:ilvl w:val="1"/>
          <w:numId w:val="17"/>
        </w:numPr>
        <w:rPr>
          <w:b/>
          <w:sz w:val="24"/>
        </w:rPr>
      </w:pPr>
      <w:r>
        <w:rPr>
          <w:b/>
          <w:sz w:val="24"/>
        </w:rPr>
        <w:t>Returns</w:t>
      </w:r>
    </w:p>
    <w:p w:rsidR="00E24F00" w:rsidRDefault="00E24F00">
      <w:pPr>
        <w:rPr>
          <w:b/>
          <w:sz w:val="24"/>
        </w:rPr>
      </w:pPr>
    </w:p>
    <w:p w:rsidR="00E24F00" w:rsidRDefault="00E24F00">
      <w:pPr>
        <w:rPr>
          <w:sz w:val="24"/>
        </w:rPr>
      </w:pPr>
      <w:r>
        <w:rPr>
          <w:sz w:val="24"/>
        </w:rPr>
        <w:t>This chapter uses financial market history to provide information about risk and return.  In general, two key observations emerge:</w:t>
      </w:r>
      <w:r>
        <w:rPr>
          <w:sz w:val="24"/>
        </w:rPr>
        <w:br/>
      </w:r>
    </w:p>
    <w:p w:rsidR="00E24F00" w:rsidRDefault="00E24F00">
      <w:pPr>
        <w:numPr>
          <w:ilvl w:val="0"/>
          <w:numId w:val="20"/>
        </w:numPr>
        <w:rPr>
          <w:sz w:val="24"/>
        </w:rPr>
      </w:pPr>
      <w:r>
        <w:rPr>
          <w:sz w:val="24"/>
        </w:rPr>
        <w:t>There is a reward for bearing risk and, on average, the reward has been considerable.</w:t>
      </w:r>
      <w:r>
        <w:rPr>
          <w:sz w:val="24"/>
        </w:rPr>
        <w:br/>
      </w:r>
    </w:p>
    <w:p w:rsidR="00E24F00" w:rsidRDefault="00E24F00">
      <w:pPr>
        <w:numPr>
          <w:ilvl w:val="0"/>
          <w:numId w:val="20"/>
        </w:numPr>
        <w:rPr>
          <w:sz w:val="24"/>
        </w:rPr>
      </w:pPr>
      <w:r>
        <w:rPr>
          <w:sz w:val="24"/>
        </w:rPr>
        <w:t>Greater rewards are accompanied by greater risks.</w:t>
      </w:r>
      <w:r>
        <w:rPr>
          <w:sz w:val="24"/>
        </w:rPr>
        <w:br/>
      </w:r>
    </w:p>
    <w:p w:rsidR="00E24F00" w:rsidRDefault="00E24F00">
      <w:pPr>
        <w:rPr>
          <w:sz w:val="24"/>
        </w:rPr>
      </w:pPr>
      <w:r>
        <w:rPr>
          <w:sz w:val="24"/>
        </w:rPr>
        <w:t>The important point is that risk and return are always linked together.</w:t>
      </w:r>
    </w:p>
    <w:p w:rsidR="00E24F00" w:rsidRDefault="00E24F00">
      <w:pPr>
        <w:rPr>
          <w:b/>
          <w:sz w:val="24"/>
        </w:rPr>
      </w:pPr>
    </w:p>
    <w:p w:rsidR="00E24F00" w:rsidRDefault="00E24F00">
      <w:pPr>
        <w:ind w:left="720" w:hanging="720"/>
        <w:rPr>
          <w:b/>
          <w:sz w:val="24"/>
        </w:rPr>
      </w:pPr>
      <w:r>
        <w:rPr>
          <w:b/>
          <w:sz w:val="24"/>
        </w:rPr>
        <w:t xml:space="preserve">A. </w:t>
      </w:r>
      <w:r>
        <w:rPr>
          <w:b/>
          <w:sz w:val="24"/>
        </w:rPr>
        <w:tab/>
        <w:t>Dollar Returns</w:t>
      </w:r>
    </w:p>
    <w:p w:rsidR="00E24F00" w:rsidRDefault="00E24F00">
      <w:pPr>
        <w:rPr>
          <w:b/>
          <w:sz w:val="24"/>
        </w:rPr>
      </w:pPr>
    </w:p>
    <w:p w:rsidR="00E24F00" w:rsidRDefault="00E24F00">
      <w:pPr>
        <w:tabs>
          <w:tab w:val="left" w:pos="90"/>
        </w:tabs>
        <w:ind w:left="720"/>
        <w:rPr>
          <w:sz w:val="24"/>
        </w:rPr>
      </w:pPr>
      <w:r>
        <w:rPr>
          <w:b/>
          <w:i/>
          <w:sz w:val="24"/>
        </w:rPr>
        <w:t>Total dollar return</w:t>
      </w:r>
      <w:r>
        <w:rPr>
          <w:sz w:val="24"/>
        </w:rPr>
        <w:t>: the return on an investment measured in dollars that accounts for all cash flows and capital gains or losses.</w:t>
      </w:r>
    </w:p>
    <w:p w:rsidR="00E24F00" w:rsidRDefault="00E24F00">
      <w:pPr>
        <w:rPr>
          <w:b/>
          <w:sz w:val="24"/>
        </w:rPr>
      </w:pPr>
    </w:p>
    <w:p w:rsidR="00E24F00" w:rsidRDefault="00E24F00">
      <w:pPr>
        <w:rPr>
          <w:sz w:val="24"/>
        </w:rPr>
      </w:pPr>
      <w:r>
        <w:rPr>
          <w:sz w:val="24"/>
        </w:rPr>
        <w:t>When you buy an asset, your gain or loss is called the return on your investment.  This return is made up of two components:</w:t>
      </w:r>
      <w:r>
        <w:rPr>
          <w:sz w:val="24"/>
        </w:rPr>
        <w:br/>
      </w:r>
    </w:p>
    <w:p w:rsidR="00E24F00" w:rsidRDefault="00E24F00">
      <w:pPr>
        <w:numPr>
          <w:ilvl w:val="0"/>
          <w:numId w:val="22"/>
        </w:numPr>
        <w:rPr>
          <w:sz w:val="24"/>
        </w:rPr>
      </w:pPr>
      <w:r>
        <w:rPr>
          <w:sz w:val="24"/>
        </w:rPr>
        <w:t>The cash you receive while you own the asset (interest or dividends), and</w:t>
      </w:r>
      <w:r>
        <w:rPr>
          <w:sz w:val="24"/>
        </w:rPr>
        <w:br/>
      </w:r>
    </w:p>
    <w:p w:rsidR="00E24F00" w:rsidRDefault="00E24F00">
      <w:pPr>
        <w:numPr>
          <w:ilvl w:val="0"/>
          <w:numId w:val="22"/>
        </w:numPr>
        <w:rPr>
          <w:sz w:val="24"/>
        </w:rPr>
      </w:pPr>
      <w:r>
        <w:rPr>
          <w:sz w:val="24"/>
        </w:rPr>
        <w:t>The change in value of the asset, the capital gain or loss.</w:t>
      </w:r>
      <w:r>
        <w:rPr>
          <w:sz w:val="24"/>
        </w:rPr>
        <w:br/>
      </w:r>
    </w:p>
    <w:p w:rsidR="00E24F00" w:rsidRDefault="00E24F00">
      <w:pPr>
        <w:rPr>
          <w:sz w:val="24"/>
        </w:rPr>
      </w:pPr>
      <w:r>
        <w:rPr>
          <w:sz w:val="24"/>
        </w:rPr>
        <w:t>The total dollar return is the sum of the cash received and the capital gain or loss on the investment. Whether you sell the stock or not, this is a real gain because you had the opportunity to sell the stock at any time.</w:t>
      </w:r>
    </w:p>
    <w:p w:rsidR="00E24F00" w:rsidRDefault="00E24F00">
      <w:pPr>
        <w:rPr>
          <w:b/>
          <w:sz w:val="24"/>
        </w:rPr>
      </w:pPr>
    </w:p>
    <w:p w:rsidR="00E24F00" w:rsidRDefault="00E24F00">
      <w:pPr>
        <w:numPr>
          <w:ilvl w:val="0"/>
          <w:numId w:val="31"/>
        </w:numPr>
        <w:tabs>
          <w:tab w:val="clear" w:pos="360"/>
          <w:tab w:val="num" w:pos="720"/>
        </w:tabs>
        <w:ind w:left="720" w:hanging="720"/>
        <w:rPr>
          <w:b/>
          <w:sz w:val="24"/>
        </w:rPr>
      </w:pPr>
      <w:r>
        <w:rPr>
          <w:b/>
          <w:sz w:val="24"/>
        </w:rPr>
        <w:t>Percentage Returns</w:t>
      </w:r>
    </w:p>
    <w:p w:rsidR="00E24F00" w:rsidRDefault="00E24F00">
      <w:pPr>
        <w:rPr>
          <w:b/>
          <w:sz w:val="24"/>
        </w:rPr>
      </w:pPr>
    </w:p>
    <w:p w:rsidR="00E24F00" w:rsidRDefault="00E24F00">
      <w:pPr>
        <w:ind w:left="720"/>
        <w:rPr>
          <w:b/>
          <w:sz w:val="24"/>
        </w:rPr>
      </w:pPr>
      <w:r>
        <w:rPr>
          <w:b/>
          <w:i/>
          <w:sz w:val="24"/>
        </w:rPr>
        <w:t>Total percent returns</w:t>
      </w:r>
      <w:r>
        <w:rPr>
          <w:sz w:val="24"/>
        </w:rPr>
        <w:t>: the return on an investment measured as a percentage of the original investment that accounts for all cash flows and capital gains or losses</w:t>
      </w:r>
    </w:p>
    <w:p w:rsidR="00E24F00" w:rsidRDefault="00E24F00">
      <w:pPr>
        <w:rPr>
          <w:b/>
          <w:sz w:val="24"/>
        </w:rPr>
      </w:pPr>
    </w:p>
    <w:p w:rsidR="00E24F00" w:rsidRDefault="00E24F00">
      <w:pPr>
        <w:rPr>
          <w:sz w:val="24"/>
        </w:rPr>
      </w:pPr>
      <w:r>
        <w:rPr>
          <w:sz w:val="24"/>
        </w:rPr>
        <w:t>When you c</w:t>
      </w:r>
      <w:r w:rsidR="00167727">
        <w:rPr>
          <w:sz w:val="24"/>
        </w:rPr>
        <w:t>alculate percent returns, your return</w:t>
      </w:r>
      <w:r>
        <w:rPr>
          <w:sz w:val="24"/>
        </w:rPr>
        <w:t xml:space="preserve"> doesn't depend on how much you invested. Percent returns tell you how much you receive for every dollar invested. There are two components of the return:</w:t>
      </w:r>
      <w:r>
        <w:rPr>
          <w:sz w:val="24"/>
        </w:rPr>
        <w:br/>
      </w:r>
    </w:p>
    <w:p w:rsidR="00E24F00" w:rsidRDefault="00E24F00">
      <w:pPr>
        <w:numPr>
          <w:ilvl w:val="0"/>
          <w:numId w:val="24"/>
        </w:numPr>
        <w:rPr>
          <w:sz w:val="24"/>
        </w:rPr>
      </w:pPr>
      <w:r>
        <w:rPr>
          <w:sz w:val="24"/>
        </w:rPr>
        <w:t>Dividend yield, the current dividend</w:t>
      </w:r>
      <w:r w:rsidR="00E027BD">
        <w:rPr>
          <w:sz w:val="24"/>
        </w:rPr>
        <w:t xml:space="preserve"> divided by the beginning price</w:t>
      </w:r>
      <w:r>
        <w:rPr>
          <w:sz w:val="24"/>
        </w:rPr>
        <w:t xml:space="preserve"> </w:t>
      </w:r>
      <w:r>
        <w:rPr>
          <w:sz w:val="24"/>
        </w:rPr>
        <w:br/>
      </w:r>
    </w:p>
    <w:p w:rsidR="00167727" w:rsidRDefault="00E24F00" w:rsidP="00167727">
      <w:pPr>
        <w:numPr>
          <w:ilvl w:val="0"/>
          <w:numId w:val="24"/>
        </w:numPr>
        <w:rPr>
          <w:sz w:val="24"/>
        </w:rPr>
      </w:pPr>
      <w:r>
        <w:rPr>
          <w:sz w:val="24"/>
        </w:rPr>
        <w:t>Capital gains yield, the change in price</w:t>
      </w:r>
      <w:r w:rsidR="00E027BD">
        <w:rPr>
          <w:sz w:val="24"/>
        </w:rPr>
        <w:t xml:space="preserve"> divided by the beginning price</w:t>
      </w:r>
    </w:p>
    <w:p w:rsidR="0099388C" w:rsidRDefault="0099388C" w:rsidP="0099388C">
      <w:pPr>
        <w:ind w:left="360"/>
        <w:rPr>
          <w:sz w:val="24"/>
        </w:rPr>
      </w:pPr>
    </w:p>
    <w:p w:rsidR="0099388C" w:rsidRDefault="0099388C" w:rsidP="0099388C">
      <w:pPr>
        <w:ind w:left="360"/>
        <w:rPr>
          <w:sz w:val="24"/>
        </w:rPr>
      </w:pPr>
    </w:p>
    <w:p w:rsidR="0099388C" w:rsidRPr="00167727" w:rsidRDefault="0099388C" w:rsidP="0099388C">
      <w:pPr>
        <w:ind w:left="360"/>
        <w:rPr>
          <w:sz w:val="24"/>
        </w:rPr>
      </w:pPr>
    </w:p>
    <w:p w:rsidR="00BB3A45" w:rsidRDefault="00BB3A45" w:rsidP="00BB3A45">
      <w:pPr>
        <w:numPr>
          <w:ilvl w:val="0"/>
          <w:numId w:val="31"/>
        </w:numPr>
        <w:tabs>
          <w:tab w:val="clear" w:pos="360"/>
          <w:tab w:val="num" w:pos="720"/>
        </w:tabs>
        <w:ind w:left="720" w:hanging="720"/>
        <w:rPr>
          <w:b/>
          <w:sz w:val="24"/>
        </w:rPr>
      </w:pPr>
      <w:r>
        <w:rPr>
          <w:b/>
          <w:sz w:val="24"/>
        </w:rPr>
        <w:lastRenderedPageBreak/>
        <w:t>A Note on Annualizing Returns</w:t>
      </w:r>
    </w:p>
    <w:p w:rsidR="00BB3A45" w:rsidRDefault="00BB3A45" w:rsidP="00BB3A45">
      <w:pPr>
        <w:ind w:left="720"/>
        <w:rPr>
          <w:b/>
          <w:sz w:val="24"/>
        </w:rPr>
      </w:pPr>
    </w:p>
    <w:p w:rsidR="00BB3A45" w:rsidRDefault="00BB3A45" w:rsidP="000D7891">
      <w:pPr>
        <w:tabs>
          <w:tab w:val="left" w:pos="0"/>
        </w:tabs>
        <w:jc w:val="both"/>
        <w:rPr>
          <w:sz w:val="24"/>
        </w:rPr>
      </w:pPr>
      <w:r>
        <w:rPr>
          <w:sz w:val="24"/>
        </w:rPr>
        <w:t>To compare investments, we need to “annualize” the returns, which we refer to as the Effective Annual Return (or EAR).</w:t>
      </w:r>
    </w:p>
    <w:p w:rsidR="00BB3A45" w:rsidRDefault="00BB3A45" w:rsidP="000D7891">
      <w:pPr>
        <w:tabs>
          <w:tab w:val="left" w:pos="0"/>
        </w:tabs>
        <w:jc w:val="both"/>
        <w:rPr>
          <w:sz w:val="24"/>
        </w:rPr>
      </w:pPr>
    </w:p>
    <w:p w:rsidR="00BB3A45" w:rsidRDefault="00BB3A45" w:rsidP="000D7891">
      <w:pPr>
        <w:tabs>
          <w:tab w:val="left" w:pos="0"/>
        </w:tabs>
        <w:jc w:val="both"/>
        <w:rPr>
          <w:sz w:val="24"/>
        </w:rPr>
      </w:pPr>
      <w:r>
        <w:rPr>
          <w:sz w:val="24"/>
        </w:rPr>
        <w:t>1 + EAR = (1 + holding period return)</w:t>
      </w:r>
      <w:r>
        <w:rPr>
          <w:sz w:val="24"/>
          <w:vertAlign w:val="superscript"/>
        </w:rPr>
        <w:t>m</w:t>
      </w:r>
    </w:p>
    <w:p w:rsidR="00BB3A45" w:rsidRDefault="00BB3A45" w:rsidP="000D7891">
      <w:pPr>
        <w:tabs>
          <w:tab w:val="left" w:pos="0"/>
        </w:tabs>
        <w:jc w:val="both"/>
        <w:rPr>
          <w:sz w:val="24"/>
        </w:rPr>
      </w:pPr>
    </w:p>
    <w:p w:rsidR="00BB3A45" w:rsidRPr="00BB3A45" w:rsidRDefault="00BB3A45" w:rsidP="000D7891">
      <w:pPr>
        <w:tabs>
          <w:tab w:val="left" w:pos="0"/>
        </w:tabs>
        <w:jc w:val="both"/>
        <w:rPr>
          <w:sz w:val="24"/>
        </w:rPr>
      </w:pPr>
      <w:r>
        <w:rPr>
          <w:sz w:val="24"/>
        </w:rPr>
        <w:t xml:space="preserve">Where </w:t>
      </w:r>
      <w:r w:rsidRPr="00BB3A45">
        <w:rPr>
          <w:i/>
          <w:sz w:val="24"/>
        </w:rPr>
        <w:t>m</w:t>
      </w:r>
      <w:r>
        <w:rPr>
          <w:i/>
          <w:sz w:val="24"/>
        </w:rPr>
        <w:t xml:space="preserve"> </w:t>
      </w:r>
      <w:r>
        <w:rPr>
          <w:sz w:val="24"/>
        </w:rPr>
        <w:t>is the number of holding periods in a year.</w:t>
      </w:r>
    </w:p>
    <w:p w:rsidR="00E24F00" w:rsidRDefault="00E24F00">
      <w:pPr>
        <w:rPr>
          <w:sz w:val="24"/>
        </w:rPr>
      </w:pPr>
    </w:p>
    <w:p w:rsidR="00BB3A45" w:rsidRDefault="00BB3A45">
      <w:pPr>
        <w:rPr>
          <w:sz w:val="24"/>
        </w:rPr>
      </w:pPr>
    </w:p>
    <w:p w:rsidR="00E24F00" w:rsidRDefault="00E24F00">
      <w:pPr>
        <w:numPr>
          <w:ilvl w:val="1"/>
          <w:numId w:val="17"/>
        </w:numPr>
        <w:rPr>
          <w:b/>
          <w:sz w:val="24"/>
        </w:rPr>
      </w:pPr>
      <w:r>
        <w:rPr>
          <w:b/>
          <w:sz w:val="24"/>
        </w:rPr>
        <w:t>The Historical Record</w:t>
      </w:r>
    </w:p>
    <w:p w:rsidR="00E24F00" w:rsidRDefault="00E24F00">
      <w:pPr>
        <w:rPr>
          <w:b/>
          <w:sz w:val="24"/>
        </w:rPr>
      </w:pPr>
    </w:p>
    <w:p w:rsidR="00E24F00" w:rsidRDefault="00E24F00">
      <w:pPr>
        <w:rPr>
          <w:sz w:val="24"/>
        </w:rPr>
      </w:pPr>
      <w:r>
        <w:rPr>
          <w:sz w:val="24"/>
        </w:rPr>
        <w:t>The year-to-year historical rates of return on five important categories of investments are analyzed in this section. These categories are:</w:t>
      </w:r>
    </w:p>
    <w:p w:rsidR="00E24F00" w:rsidRDefault="00E24F00">
      <w:pPr>
        <w:rPr>
          <w:sz w:val="24"/>
        </w:rPr>
      </w:pPr>
    </w:p>
    <w:p w:rsidR="00E24F00" w:rsidRDefault="00E24F00">
      <w:pPr>
        <w:numPr>
          <w:ilvl w:val="0"/>
          <w:numId w:val="25"/>
        </w:numPr>
        <w:rPr>
          <w:sz w:val="24"/>
        </w:rPr>
      </w:pPr>
      <w:r>
        <w:rPr>
          <w:sz w:val="24"/>
        </w:rPr>
        <w:t>Large-company stocks, which is based on the Standard &amp; Poor's 500 index (S&amp;P 500).</w:t>
      </w:r>
      <w:r>
        <w:rPr>
          <w:sz w:val="24"/>
        </w:rPr>
        <w:br/>
      </w:r>
    </w:p>
    <w:p w:rsidR="00E24F00" w:rsidRPr="004F6D67" w:rsidRDefault="00E24F00" w:rsidP="004F6D67">
      <w:pPr>
        <w:numPr>
          <w:ilvl w:val="0"/>
          <w:numId w:val="25"/>
        </w:numPr>
        <w:rPr>
          <w:sz w:val="24"/>
        </w:rPr>
      </w:pPr>
      <w:r>
        <w:rPr>
          <w:sz w:val="24"/>
        </w:rPr>
        <w:t>Small-company stocks, where "small" corresponds to the smallest 20%</w:t>
      </w:r>
      <w:r w:rsidR="004F6D67">
        <w:rPr>
          <w:sz w:val="24"/>
        </w:rPr>
        <w:t xml:space="preserve"> of the companies listed on the major U.S. exchanges</w:t>
      </w:r>
      <w:r w:rsidRPr="004F6D67">
        <w:rPr>
          <w:sz w:val="24"/>
        </w:rPr>
        <w:t>, as measured by the market value of outstanding stock.</w:t>
      </w:r>
      <w:r w:rsidRPr="004F6D67">
        <w:rPr>
          <w:sz w:val="24"/>
        </w:rPr>
        <w:br/>
      </w:r>
    </w:p>
    <w:p w:rsidR="00E24F00" w:rsidRDefault="00E24F00">
      <w:pPr>
        <w:numPr>
          <w:ilvl w:val="0"/>
          <w:numId w:val="25"/>
        </w:numPr>
        <w:rPr>
          <w:sz w:val="24"/>
        </w:rPr>
      </w:pPr>
      <w:r>
        <w:rPr>
          <w:sz w:val="24"/>
        </w:rPr>
        <w:t>Long-term corporate bonds, which is a portfolio of high-quality bonds with 20 years to maturity.</w:t>
      </w:r>
      <w:r>
        <w:rPr>
          <w:sz w:val="24"/>
        </w:rPr>
        <w:br/>
      </w:r>
    </w:p>
    <w:p w:rsidR="00E24F00" w:rsidRDefault="00E24F00">
      <w:pPr>
        <w:numPr>
          <w:ilvl w:val="0"/>
          <w:numId w:val="25"/>
        </w:numPr>
        <w:rPr>
          <w:sz w:val="24"/>
        </w:rPr>
      </w:pPr>
      <w:r>
        <w:rPr>
          <w:sz w:val="24"/>
        </w:rPr>
        <w:t xml:space="preserve">Long-term </w:t>
      </w:r>
      <w:smartTag w:uri="urn:schemas-microsoft-com:office:smarttags" w:element="country-region">
        <w:r>
          <w:rPr>
            <w:sz w:val="24"/>
          </w:rPr>
          <w:t>U.S.</w:t>
        </w:r>
      </w:smartTag>
      <w:r>
        <w:rPr>
          <w:sz w:val="24"/>
        </w:rPr>
        <w:t xml:space="preserve"> </w:t>
      </w:r>
      <w:r w:rsidR="00DE69E6">
        <w:rPr>
          <w:sz w:val="24"/>
        </w:rPr>
        <w:t>government</w:t>
      </w:r>
      <w:r>
        <w:rPr>
          <w:sz w:val="24"/>
        </w:rPr>
        <w:t xml:space="preserve"> bonds, which is a portfolio of </w:t>
      </w:r>
      <w:smartTag w:uri="urn:schemas-microsoft-com:office:smarttags" w:element="country-region">
        <w:smartTag w:uri="urn:schemas-microsoft-com:office:smarttags" w:element="place">
          <w:r>
            <w:rPr>
              <w:sz w:val="24"/>
            </w:rPr>
            <w:t>U.S.</w:t>
          </w:r>
        </w:smartTag>
      </w:smartTag>
      <w:r>
        <w:rPr>
          <w:sz w:val="24"/>
        </w:rPr>
        <w:t xml:space="preserve"> government bonds with 20 years to maturity.</w:t>
      </w:r>
      <w:r>
        <w:rPr>
          <w:sz w:val="24"/>
        </w:rPr>
        <w:br/>
      </w:r>
    </w:p>
    <w:p w:rsidR="00E24F00" w:rsidRDefault="00E24F00">
      <w:pPr>
        <w:numPr>
          <w:ilvl w:val="0"/>
          <w:numId w:val="25"/>
        </w:numPr>
        <w:rPr>
          <w:sz w:val="24"/>
        </w:rPr>
      </w:pPr>
      <w:r>
        <w:rPr>
          <w:sz w:val="24"/>
        </w:rPr>
        <w:t>U.S. Treasury bills (T-bills) with a three-month life.</w:t>
      </w:r>
      <w:r>
        <w:rPr>
          <w:sz w:val="24"/>
        </w:rPr>
        <w:br/>
      </w:r>
    </w:p>
    <w:p w:rsidR="00E24F00" w:rsidRDefault="00E24F00">
      <w:pPr>
        <w:rPr>
          <w:sz w:val="24"/>
        </w:rPr>
      </w:pPr>
      <w:r>
        <w:rPr>
          <w:sz w:val="24"/>
        </w:rPr>
        <w:t>The annual percentage changes in the Consumer Price Index (CPI) are also calculated as a comparison to consumer goods</w:t>
      </w:r>
      <w:r w:rsidR="00167727">
        <w:rPr>
          <w:sz w:val="24"/>
        </w:rPr>
        <w:t xml:space="preserve"> price</w:t>
      </w:r>
      <w:r>
        <w:rPr>
          <w:sz w:val="24"/>
        </w:rPr>
        <w:t xml:space="preserve"> inflation.</w:t>
      </w:r>
    </w:p>
    <w:p w:rsidR="00E24F00" w:rsidRDefault="00E24F00">
      <w:pPr>
        <w:rPr>
          <w:b/>
          <w:sz w:val="24"/>
        </w:rPr>
      </w:pPr>
      <w:r>
        <w:rPr>
          <w:b/>
          <w:sz w:val="24"/>
        </w:rPr>
        <w:br/>
      </w:r>
    </w:p>
    <w:p w:rsidR="00E24F00" w:rsidRPr="00303E89" w:rsidRDefault="00E24F00">
      <w:pPr>
        <w:numPr>
          <w:ilvl w:val="0"/>
          <w:numId w:val="8"/>
        </w:numPr>
        <w:rPr>
          <w:b/>
          <w:sz w:val="24"/>
        </w:rPr>
      </w:pPr>
      <w:r w:rsidRPr="00303E89">
        <w:rPr>
          <w:b/>
          <w:sz w:val="24"/>
        </w:rPr>
        <w:t>A First Look</w:t>
      </w:r>
    </w:p>
    <w:p w:rsidR="00E24F00" w:rsidRPr="00303E89" w:rsidRDefault="00E24F00">
      <w:pPr>
        <w:rPr>
          <w:sz w:val="24"/>
        </w:rPr>
      </w:pPr>
    </w:p>
    <w:p w:rsidR="00E24F00" w:rsidRPr="00303E89" w:rsidRDefault="00E24F00">
      <w:pPr>
        <w:rPr>
          <w:b/>
          <w:sz w:val="24"/>
        </w:rPr>
      </w:pPr>
      <w:r w:rsidRPr="00303E89">
        <w:rPr>
          <w:sz w:val="24"/>
        </w:rPr>
        <w:t>When we examine the returns on these categories of investments from 1926 through 20</w:t>
      </w:r>
      <w:r w:rsidR="004F6D67">
        <w:rPr>
          <w:sz w:val="24"/>
        </w:rPr>
        <w:t>15</w:t>
      </w:r>
      <w:r w:rsidRPr="00303E89">
        <w:rPr>
          <w:sz w:val="24"/>
        </w:rPr>
        <w:t>, we see that the small-company investment grew from $1 to $</w:t>
      </w:r>
      <w:r w:rsidR="004F6D67">
        <w:rPr>
          <w:sz w:val="24"/>
        </w:rPr>
        <w:t>24,113</w:t>
      </w:r>
      <w:r w:rsidRPr="00303E89">
        <w:rPr>
          <w:sz w:val="24"/>
        </w:rPr>
        <w:t>, the larger common stock portfolio to $</w:t>
      </w:r>
      <w:r w:rsidR="004F6D67">
        <w:rPr>
          <w:sz w:val="24"/>
        </w:rPr>
        <w:t>4,955</w:t>
      </w:r>
      <w:r w:rsidRPr="00303E89">
        <w:rPr>
          <w:sz w:val="24"/>
        </w:rPr>
        <w:t>, the long-term government bonds to $</w:t>
      </w:r>
      <w:r w:rsidR="004F6D67">
        <w:rPr>
          <w:sz w:val="24"/>
        </w:rPr>
        <w:t>121</w:t>
      </w:r>
      <w:r w:rsidRPr="00303E89">
        <w:rPr>
          <w:sz w:val="24"/>
        </w:rPr>
        <w:t>, and T-bills to $</w:t>
      </w:r>
      <w:r w:rsidR="004F6D67">
        <w:rPr>
          <w:sz w:val="24"/>
        </w:rPr>
        <w:t>22</w:t>
      </w:r>
      <w:r w:rsidRPr="00303E89">
        <w:rPr>
          <w:sz w:val="24"/>
        </w:rPr>
        <w:t>. Inflation caused the price of a</w:t>
      </w:r>
      <w:r w:rsidR="00167727">
        <w:rPr>
          <w:sz w:val="24"/>
        </w:rPr>
        <w:t>n average consumer</w:t>
      </w:r>
      <w:r w:rsidRPr="00303E89">
        <w:rPr>
          <w:sz w:val="24"/>
        </w:rPr>
        <w:t xml:space="preserve"> good to grow from $1 to $</w:t>
      </w:r>
      <w:r w:rsidR="004F6D67">
        <w:rPr>
          <w:sz w:val="24"/>
        </w:rPr>
        <w:t>13</w:t>
      </w:r>
      <w:r w:rsidRPr="00CD7A04">
        <w:rPr>
          <w:sz w:val="24"/>
        </w:rPr>
        <w:t xml:space="preserve"> </w:t>
      </w:r>
      <w:r w:rsidRPr="00303E89">
        <w:rPr>
          <w:sz w:val="24"/>
        </w:rPr>
        <w:t xml:space="preserve">over the </w:t>
      </w:r>
      <w:r w:rsidR="004F6D67">
        <w:rPr>
          <w:sz w:val="24"/>
        </w:rPr>
        <w:t>90</w:t>
      </w:r>
      <w:r w:rsidRPr="00303E89">
        <w:rPr>
          <w:sz w:val="24"/>
        </w:rPr>
        <w:t xml:space="preserve"> years. An obvious question resulting from examining this graph would be, "Why would anyone invest in anything other than </w:t>
      </w:r>
      <w:r w:rsidR="00DE69E6" w:rsidRPr="00303E89">
        <w:rPr>
          <w:sz w:val="24"/>
        </w:rPr>
        <w:t>small-company</w:t>
      </w:r>
      <w:r w:rsidRPr="00303E89">
        <w:rPr>
          <w:sz w:val="24"/>
        </w:rPr>
        <w:t xml:space="preserve"> stocks?" The answer lies in the hi</w:t>
      </w:r>
      <w:r w:rsidR="00DE69E6" w:rsidRPr="00303E89">
        <w:rPr>
          <w:sz w:val="24"/>
        </w:rPr>
        <w:t>gher volatility of the small- company</w:t>
      </w:r>
      <w:r w:rsidR="00167727">
        <w:rPr>
          <w:sz w:val="24"/>
        </w:rPr>
        <w:t xml:space="preserve"> stocks. This</w:t>
      </w:r>
      <w:r w:rsidRPr="00303E89">
        <w:rPr>
          <w:sz w:val="24"/>
        </w:rPr>
        <w:t xml:space="preserve"> topic will be discussed later in t</w:t>
      </w:r>
      <w:r w:rsidR="00167727">
        <w:rPr>
          <w:sz w:val="24"/>
        </w:rPr>
        <w:t>he</w:t>
      </w:r>
      <w:r w:rsidRPr="00303E89">
        <w:rPr>
          <w:sz w:val="24"/>
        </w:rPr>
        <w:t xml:space="preserve"> chapter.</w:t>
      </w:r>
      <w:r w:rsidRPr="00303E89">
        <w:rPr>
          <w:b/>
          <w:sz w:val="24"/>
        </w:rPr>
        <w:br/>
      </w:r>
    </w:p>
    <w:p w:rsidR="00E24F00" w:rsidRPr="00303E89" w:rsidRDefault="00E24F00">
      <w:pPr>
        <w:numPr>
          <w:ilvl w:val="0"/>
          <w:numId w:val="8"/>
        </w:numPr>
        <w:rPr>
          <w:b/>
          <w:sz w:val="24"/>
        </w:rPr>
      </w:pPr>
      <w:r w:rsidRPr="00303E89">
        <w:rPr>
          <w:b/>
          <w:sz w:val="24"/>
        </w:rPr>
        <w:lastRenderedPageBreak/>
        <w:t>A Longer Range Look</w:t>
      </w:r>
    </w:p>
    <w:p w:rsidR="00E24F00" w:rsidRPr="00303E89" w:rsidRDefault="00E24F00">
      <w:pPr>
        <w:rPr>
          <w:b/>
          <w:sz w:val="24"/>
        </w:rPr>
      </w:pPr>
    </w:p>
    <w:p w:rsidR="00E24F00" w:rsidRDefault="00E24F00">
      <w:pPr>
        <w:rPr>
          <w:sz w:val="24"/>
        </w:rPr>
      </w:pPr>
      <w:r w:rsidRPr="00303E89">
        <w:rPr>
          <w:sz w:val="24"/>
        </w:rPr>
        <w:t>When we loo</w:t>
      </w:r>
      <w:r w:rsidR="00167727">
        <w:rPr>
          <w:sz w:val="24"/>
        </w:rPr>
        <w:t>k at a longer term, back to 1801</w:t>
      </w:r>
      <w:r w:rsidRPr="00303E89">
        <w:rPr>
          <w:sz w:val="24"/>
        </w:rPr>
        <w:t>, we see that the return from investing in stocks is much higher than investing</w:t>
      </w:r>
      <w:r w:rsidR="00DE69E6" w:rsidRPr="00303E89">
        <w:rPr>
          <w:sz w:val="24"/>
        </w:rPr>
        <w:t xml:space="preserve"> in bo</w:t>
      </w:r>
      <w:r w:rsidR="004F6D67">
        <w:rPr>
          <w:sz w:val="24"/>
        </w:rPr>
        <w:t>nds or gold. Over this 215</w:t>
      </w:r>
      <w:r w:rsidRPr="00303E89">
        <w:rPr>
          <w:sz w:val="24"/>
        </w:rPr>
        <w:t>-year period, one dollar invested in stocks grew to an astounding $</w:t>
      </w:r>
      <w:r w:rsidR="004F6D67">
        <w:rPr>
          <w:sz w:val="24"/>
        </w:rPr>
        <w:t>21.9</w:t>
      </w:r>
      <w:r w:rsidRPr="00CD7A04">
        <w:rPr>
          <w:sz w:val="24"/>
        </w:rPr>
        <w:t xml:space="preserve"> </w:t>
      </w:r>
      <w:r w:rsidRPr="00303E89">
        <w:rPr>
          <w:sz w:val="24"/>
        </w:rPr>
        <w:t>million, whereas bonds only returned $</w:t>
      </w:r>
      <w:r w:rsidR="004F6D67">
        <w:rPr>
          <w:sz w:val="24"/>
        </w:rPr>
        <w:t>39,134</w:t>
      </w:r>
      <w:r w:rsidRPr="00303E89">
        <w:rPr>
          <w:sz w:val="24"/>
        </w:rPr>
        <w:t>, and gold</w:t>
      </w:r>
      <w:r w:rsidR="00303E89">
        <w:rPr>
          <w:sz w:val="24"/>
        </w:rPr>
        <w:t xml:space="preserve"> (until the past few years)</w:t>
      </w:r>
      <w:r w:rsidRPr="00303E89">
        <w:rPr>
          <w:sz w:val="24"/>
        </w:rPr>
        <w:t xml:space="preserve"> </w:t>
      </w:r>
      <w:r w:rsidR="00FD46B3" w:rsidRPr="00303E89">
        <w:rPr>
          <w:sz w:val="24"/>
        </w:rPr>
        <w:t>has</w:t>
      </w:r>
      <w:r w:rsidRPr="00303E89">
        <w:rPr>
          <w:sz w:val="24"/>
        </w:rPr>
        <w:t xml:space="preserve"> </w:t>
      </w:r>
      <w:r w:rsidR="00FD46B3" w:rsidRPr="00303E89">
        <w:rPr>
          <w:sz w:val="24"/>
        </w:rPr>
        <w:t xml:space="preserve">simply </w:t>
      </w:r>
      <w:r w:rsidRPr="00303E89">
        <w:rPr>
          <w:sz w:val="24"/>
        </w:rPr>
        <w:t>kept up with inflation. The moral is, "Start investing early."</w:t>
      </w:r>
    </w:p>
    <w:p w:rsidR="00E24F00" w:rsidRDefault="00E24F00">
      <w:pPr>
        <w:rPr>
          <w:b/>
          <w:sz w:val="24"/>
        </w:rPr>
      </w:pPr>
    </w:p>
    <w:p w:rsidR="00E24F00" w:rsidRDefault="00E24F00">
      <w:pPr>
        <w:numPr>
          <w:ilvl w:val="0"/>
          <w:numId w:val="8"/>
        </w:numPr>
        <w:rPr>
          <w:b/>
          <w:sz w:val="24"/>
        </w:rPr>
      </w:pPr>
      <w:r>
        <w:rPr>
          <w:b/>
          <w:sz w:val="24"/>
        </w:rPr>
        <w:t>A Closer Look</w:t>
      </w:r>
    </w:p>
    <w:p w:rsidR="00E24F00" w:rsidRDefault="00E24F00">
      <w:pPr>
        <w:rPr>
          <w:b/>
          <w:sz w:val="24"/>
        </w:rPr>
      </w:pPr>
    </w:p>
    <w:p w:rsidR="00E24F00" w:rsidRDefault="00E24F00">
      <w:pPr>
        <w:rPr>
          <w:sz w:val="24"/>
        </w:rPr>
      </w:pPr>
      <w:r>
        <w:rPr>
          <w:sz w:val="24"/>
        </w:rPr>
        <w:t xml:space="preserve">As you examine the bar graphs you can observe that the return on stocks, especially small-company stocks, was much more variable than bonds or T-bills.  </w:t>
      </w:r>
    </w:p>
    <w:p w:rsidR="00E24F00" w:rsidRDefault="00E24F00">
      <w:pPr>
        <w:rPr>
          <w:sz w:val="24"/>
        </w:rPr>
      </w:pPr>
      <w:r>
        <w:rPr>
          <w:sz w:val="24"/>
        </w:rPr>
        <w:t xml:space="preserve">The returns on T-bills were much more predictable than stocks. Although the largest one-year return was 143% for small-company stocks and 53% for large-company stocks, the largest T-bill return was only </w:t>
      </w:r>
      <w:r w:rsidR="00CD7A04">
        <w:rPr>
          <w:sz w:val="24"/>
        </w:rPr>
        <w:t>14.6</w:t>
      </w:r>
      <w:r>
        <w:rPr>
          <w:sz w:val="24"/>
        </w:rPr>
        <w:t xml:space="preserve">%. The largest historical return for long-term government bonds was </w:t>
      </w:r>
      <w:r w:rsidR="00CD7A04">
        <w:rPr>
          <w:sz w:val="24"/>
        </w:rPr>
        <w:t>47.14</w:t>
      </w:r>
      <w:r>
        <w:rPr>
          <w:sz w:val="24"/>
        </w:rPr>
        <w:t xml:space="preserve">%, which occurred in </w:t>
      </w:r>
      <w:r w:rsidRPr="00CD7A04">
        <w:rPr>
          <w:sz w:val="24"/>
        </w:rPr>
        <w:t>1982</w:t>
      </w:r>
      <w:r>
        <w:rPr>
          <w:sz w:val="24"/>
        </w:rPr>
        <w:t xml:space="preserve">. </w:t>
      </w:r>
    </w:p>
    <w:p w:rsidR="00BB3A45" w:rsidRDefault="00BB3A45">
      <w:pPr>
        <w:rPr>
          <w:sz w:val="24"/>
        </w:rPr>
      </w:pPr>
    </w:p>
    <w:p w:rsidR="00BB3A45" w:rsidRDefault="00BB3A45" w:rsidP="00BB3A45">
      <w:pPr>
        <w:numPr>
          <w:ilvl w:val="0"/>
          <w:numId w:val="8"/>
        </w:numPr>
        <w:rPr>
          <w:b/>
          <w:sz w:val="24"/>
        </w:rPr>
      </w:pPr>
      <w:r>
        <w:rPr>
          <w:b/>
          <w:sz w:val="24"/>
        </w:rPr>
        <w:t>2008: The Bear Growled and Investors Howled</w:t>
      </w:r>
    </w:p>
    <w:p w:rsidR="00BB3A45" w:rsidRDefault="00BB3A45" w:rsidP="00BB3A45">
      <w:pPr>
        <w:rPr>
          <w:b/>
          <w:sz w:val="24"/>
        </w:rPr>
      </w:pPr>
    </w:p>
    <w:p w:rsidR="00BB3A45" w:rsidRPr="00BB3A45" w:rsidRDefault="00BB3A45" w:rsidP="00BB3A45">
      <w:pPr>
        <w:rPr>
          <w:sz w:val="24"/>
        </w:rPr>
      </w:pPr>
      <w:r w:rsidRPr="00BB3A45">
        <w:rPr>
          <w:sz w:val="24"/>
        </w:rPr>
        <w:t>The S&amp;P</w:t>
      </w:r>
      <w:r w:rsidR="00167727">
        <w:rPr>
          <w:sz w:val="24"/>
        </w:rPr>
        <w:t xml:space="preserve"> </w:t>
      </w:r>
      <w:r w:rsidRPr="00BB3A45">
        <w:rPr>
          <w:sz w:val="24"/>
        </w:rPr>
        <w:t xml:space="preserve">500 index plunged </w:t>
      </w:r>
      <w:r>
        <w:rPr>
          <w:sz w:val="24"/>
        </w:rPr>
        <w:t>-</w:t>
      </w:r>
      <w:r w:rsidRPr="00BB3A45">
        <w:rPr>
          <w:sz w:val="24"/>
        </w:rPr>
        <w:t>37 percent in 2008</w:t>
      </w:r>
      <w:r>
        <w:rPr>
          <w:sz w:val="24"/>
        </w:rPr>
        <w:t>, which is behind only 1931 at -</w:t>
      </w:r>
      <w:r w:rsidR="00167727">
        <w:rPr>
          <w:sz w:val="24"/>
        </w:rPr>
        <w:t>44</w:t>
      </w:r>
      <w:r w:rsidR="00197B67">
        <w:rPr>
          <w:sz w:val="24"/>
        </w:rPr>
        <w:t xml:space="preserve"> percent. Moreover, there were 18 days during 2008 on which the value of the S&amp;P changed by more than 5 percent. From 1956 to 2007 there were only 17 such days.</w:t>
      </w:r>
    </w:p>
    <w:p w:rsidR="00BB3A45" w:rsidRDefault="00BB3A45">
      <w:pPr>
        <w:rPr>
          <w:sz w:val="24"/>
        </w:rPr>
      </w:pPr>
    </w:p>
    <w:p w:rsidR="00E24F00" w:rsidRDefault="00E24F00">
      <w:pPr>
        <w:rPr>
          <w:b/>
          <w:sz w:val="24"/>
        </w:rPr>
      </w:pPr>
    </w:p>
    <w:p w:rsidR="00E24F00" w:rsidRDefault="00E24F00">
      <w:pPr>
        <w:numPr>
          <w:ilvl w:val="1"/>
          <w:numId w:val="17"/>
        </w:numPr>
        <w:rPr>
          <w:b/>
          <w:sz w:val="24"/>
        </w:rPr>
      </w:pPr>
      <w:r>
        <w:rPr>
          <w:b/>
          <w:sz w:val="24"/>
        </w:rPr>
        <w:t>Average Returns: The First Lesson</w:t>
      </w:r>
    </w:p>
    <w:p w:rsidR="00E24F00" w:rsidRDefault="00E24F00">
      <w:pPr>
        <w:rPr>
          <w:b/>
          <w:sz w:val="24"/>
        </w:rPr>
      </w:pPr>
    </w:p>
    <w:p w:rsidR="00E24F00" w:rsidRDefault="00E24F00">
      <w:pPr>
        <w:rPr>
          <w:sz w:val="24"/>
        </w:rPr>
      </w:pPr>
      <w:r>
        <w:rPr>
          <w:sz w:val="24"/>
        </w:rPr>
        <w:t>This section provides simple measures to accurately summarize and describe all of these numbers, starting with calculating average returns.</w:t>
      </w:r>
    </w:p>
    <w:p w:rsidR="00E24F00" w:rsidRDefault="00E24F00">
      <w:pPr>
        <w:rPr>
          <w:b/>
          <w:sz w:val="24"/>
        </w:rPr>
      </w:pPr>
    </w:p>
    <w:p w:rsidR="00E24F00" w:rsidRDefault="00E24F00">
      <w:pPr>
        <w:numPr>
          <w:ilvl w:val="0"/>
          <w:numId w:val="10"/>
        </w:numPr>
        <w:rPr>
          <w:b/>
          <w:sz w:val="24"/>
        </w:rPr>
      </w:pPr>
      <w:r>
        <w:rPr>
          <w:b/>
          <w:sz w:val="24"/>
        </w:rPr>
        <w:t>Calculating Average Returns</w:t>
      </w:r>
    </w:p>
    <w:p w:rsidR="00E24F00" w:rsidRDefault="00E24F00">
      <w:pPr>
        <w:rPr>
          <w:b/>
          <w:sz w:val="24"/>
        </w:rPr>
      </w:pPr>
    </w:p>
    <w:p w:rsidR="00E24F00" w:rsidRDefault="00E24F00">
      <w:pPr>
        <w:rPr>
          <w:sz w:val="24"/>
        </w:rPr>
      </w:pPr>
      <w:r>
        <w:rPr>
          <w:sz w:val="24"/>
        </w:rPr>
        <w:t>The simplest way to calculate average returns is to add up the annual returns and divide by the number of years. This will provide the historical average. So</w:t>
      </w:r>
      <w:r w:rsidR="000D7891">
        <w:rPr>
          <w:sz w:val="24"/>
        </w:rPr>
        <w:t>,</w:t>
      </w:r>
      <w:r>
        <w:rPr>
          <w:sz w:val="24"/>
        </w:rPr>
        <w:t xml:space="preserve"> the average return for the large-company stocks over the </w:t>
      </w:r>
      <w:r w:rsidR="004F6D67">
        <w:rPr>
          <w:sz w:val="24"/>
        </w:rPr>
        <w:t>90</w:t>
      </w:r>
      <w:r>
        <w:rPr>
          <w:sz w:val="24"/>
        </w:rPr>
        <w:t xml:space="preserve"> years </w:t>
      </w:r>
      <w:r w:rsidRPr="00303E89">
        <w:rPr>
          <w:sz w:val="24"/>
        </w:rPr>
        <w:t xml:space="preserve">is </w:t>
      </w:r>
      <w:r w:rsidR="004F6D67">
        <w:rPr>
          <w:sz w:val="24"/>
        </w:rPr>
        <w:t>11.9</w:t>
      </w:r>
      <w:r w:rsidRPr="00303E89">
        <w:rPr>
          <w:sz w:val="24"/>
        </w:rPr>
        <w:t>%.</w:t>
      </w:r>
    </w:p>
    <w:p w:rsidR="00E24F00" w:rsidRDefault="00E24F00">
      <w:pPr>
        <w:rPr>
          <w:b/>
          <w:sz w:val="24"/>
        </w:rPr>
      </w:pPr>
    </w:p>
    <w:p w:rsidR="00E24F00" w:rsidRDefault="00E24F00">
      <w:pPr>
        <w:numPr>
          <w:ilvl w:val="0"/>
          <w:numId w:val="10"/>
        </w:numPr>
        <w:rPr>
          <w:b/>
          <w:sz w:val="24"/>
        </w:rPr>
      </w:pPr>
      <w:r>
        <w:rPr>
          <w:b/>
          <w:sz w:val="24"/>
        </w:rPr>
        <w:t>Average Returns: The Historical Record</w:t>
      </w:r>
    </w:p>
    <w:p w:rsidR="00E24F00" w:rsidRDefault="00E24F00">
      <w:pPr>
        <w:rPr>
          <w:b/>
          <w:sz w:val="24"/>
        </w:rPr>
      </w:pPr>
    </w:p>
    <w:p w:rsidR="00E24F00" w:rsidRDefault="00E24F00">
      <w:pPr>
        <w:rPr>
          <w:sz w:val="24"/>
        </w:rPr>
      </w:pPr>
      <w:r w:rsidRPr="00303E89">
        <w:rPr>
          <w:sz w:val="24"/>
        </w:rPr>
        <w:t xml:space="preserve">Table 1.2 also shows that small-company stocks had an average return of </w:t>
      </w:r>
      <w:r w:rsidR="00CD7A04">
        <w:rPr>
          <w:sz w:val="24"/>
        </w:rPr>
        <w:t>17.5</w:t>
      </w:r>
      <w:r w:rsidRPr="00303E89">
        <w:rPr>
          <w:sz w:val="24"/>
        </w:rPr>
        <w:t>%, governm</w:t>
      </w:r>
      <w:r w:rsidR="00303E89">
        <w:rPr>
          <w:sz w:val="24"/>
        </w:rPr>
        <w:t xml:space="preserve">ent bonds returned </w:t>
      </w:r>
      <w:r w:rsidR="004F6D67">
        <w:rPr>
          <w:sz w:val="24"/>
        </w:rPr>
        <w:t>6.5</w:t>
      </w:r>
      <w:r w:rsidRPr="00303E89">
        <w:rPr>
          <w:sz w:val="24"/>
        </w:rPr>
        <w:t xml:space="preserve">% on average, and T-bills only returned </w:t>
      </w:r>
      <w:r w:rsidR="00CD7A04">
        <w:rPr>
          <w:sz w:val="24"/>
        </w:rPr>
        <w:t>3.</w:t>
      </w:r>
      <w:r w:rsidR="004F6D67">
        <w:rPr>
          <w:sz w:val="24"/>
        </w:rPr>
        <w:t>6</w:t>
      </w:r>
      <w:r w:rsidRPr="00303E89">
        <w:rPr>
          <w:sz w:val="24"/>
        </w:rPr>
        <w:t xml:space="preserve">%.  Note that the return on T-bills is just slightly more than the inflation rate of </w:t>
      </w:r>
      <w:r w:rsidR="004F6D67">
        <w:rPr>
          <w:sz w:val="24"/>
        </w:rPr>
        <w:t>3.0</w:t>
      </w:r>
      <w:r w:rsidRPr="00303E89">
        <w:rPr>
          <w:sz w:val="24"/>
        </w:rPr>
        <w:t>%.</w:t>
      </w:r>
    </w:p>
    <w:p w:rsidR="00E24F00" w:rsidRDefault="00E24F00">
      <w:pPr>
        <w:rPr>
          <w:sz w:val="24"/>
        </w:rPr>
      </w:pPr>
    </w:p>
    <w:p w:rsidR="00E24F00" w:rsidRDefault="007155C6">
      <w:pPr>
        <w:rPr>
          <w:b/>
          <w:sz w:val="24"/>
        </w:rPr>
      </w:pPr>
      <w:r>
        <w:rPr>
          <w:b/>
          <w:sz w:val="24"/>
        </w:rPr>
        <w:br w:type="page"/>
      </w:r>
    </w:p>
    <w:p w:rsidR="00E24F00" w:rsidRDefault="00E24F00">
      <w:pPr>
        <w:numPr>
          <w:ilvl w:val="0"/>
          <w:numId w:val="10"/>
        </w:numPr>
        <w:rPr>
          <w:b/>
          <w:sz w:val="24"/>
        </w:rPr>
      </w:pPr>
      <w:r>
        <w:rPr>
          <w:b/>
          <w:sz w:val="24"/>
        </w:rPr>
        <w:lastRenderedPageBreak/>
        <w:t>Risk Premiums</w:t>
      </w:r>
    </w:p>
    <w:p w:rsidR="00E24F00" w:rsidRDefault="00E24F00">
      <w:pPr>
        <w:rPr>
          <w:b/>
          <w:sz w:val="24"/>
        </w:rPr>
      </w:pPr>
    </w:p>
    <w:p w:rsidR="00E24F00" w:rsidRDefault="00E24F00">
      <w:pPr>
        <w:ind w:left="720"/>
        <w:rPr>
          <w:sz w:val="24"/>
        </w:rPr>
      </w:pPr>
      <w:r>
        <w:rPr>
          <w:b/>
          <w:i/>
          <w:sz w:val="24"/>
        </w:rPr>
        <w:t>Risk-free rate</w:t>
      </w:r>
      <w:r>
        <w:rPr>
          <w:sz w:val="24"/>
        </w:rPr>
        <w:t>: the rate of return on a riskless investment.</w:t>
      </w:r>
    </w:p>
    <w:p w:rsidR="00E24F00" w:rsidRDefault="00E24F00">
      <w:pPr>
        <w:ind w:left="720"/>
        <w:rPr>
          <w:sz w:val="24"/>
        </w:rPr>
      </w:pPr>
    </w:p>
    <w:p w:rsidR="00E24F00" w:rsidRDefault="00E24F00">
      <w:pPr>
        <w:ind w:left="720"/>
        <w:rPr>
          <w:sz w:val="24"/>
        </w:rPr>
      </w:pPr>
      <w:r>
        <w:rPr>
          <w:b/>
          <w:i/>
          <w:sz w:val="24"/>
        </w:rPr>
        <w:t>Risk premium</w:t>
      </w:r>
      <w:r>
        <w:rPr>
          <w:sz w:val="24"/>
        </w:rPr>
        <w:t>: the extra return on a risk</w:t>
      </w:r>
      <w:r w:rsidR="00167727">
        <w:rPr>
          <w:sz w:val="24"/>
        </w:rPr>
        <w:t>y</w:t>
      </w:r>
      <w:r>
        <w:rPr>
          <w:sz w:val="24"/>
        </w:rPr>
        <w:t xml:space="preserve"> asset over the risk-free rate.</w:t>
      </w:r>
    </w:p>
    <w:p w:rsidR="00E24F00" w:rsidRDefault="00E24F00">
      <w:pPr>
        <w:rPr>
          <w:b/>
          <w:sz w:val="24"/>
        </w:rPr>
      </w:pPr>
    </w:p>
    <w:p w:rsidR="00E24F00" w:rsidRDefault="00E24F00">
      <w:pPr>
        <w:rPr>
          <w:sz w:val="24"/>
        </w:rPr>
      </w:pPr>
      <w:r>
        <w:rPr>
          <w:sz w:val="24"/>
        </w:rPr>
        <w:t>The rate of return on T-bills is essentially risk free because there is no risk of default. So we will use T-bills as a proxy for the risk-free rate, our investing benchmark. If we consider T-bills as risk-free investing and investing in stocks as risky investing, the difference between these two returns would be the risk premium for investing in stocks. This is the additional return we receive for investing in the risky asset, or the reward for bearing risk.</w:t>
      </w:r>
    </w:p>
    <w:p w:rsidR="00E24F00" w:rsidRDefault="00E24F00">
      <w:pPr>
        <w:rPr>
          <w:b/>
          <w:sz w:val="24"/>
        </w:rPr>
      </w:pPr>
    </w:p>
    <w:p w:rsidR="00303E89" w:rsidRPr="00303E89" w:rsidRDefault="00303E89" w:rsidP="00DE1A35">
      <w:pPr>
        <w:ind w:left="720"/>
        <w:rPr>
          <w:sz w:val="24"/>
        </w:rPr>
      </w:pPr>
      <w:r>
        <w:rPr>
          <w:b/>
          <w:sz w:val="24"/>
        </w:rPr>
        <w:t>The U.S. Equity Risk Premium: Historical and International Perspectives</w:t>
      </w:r>
      <w:r w:rsidR="00DE1A35">
        <w:rPr>
          <w:b/>
          <w:sz w:val="24"/>
        </w:rPr>
        <w:t xml:space="preserve">: </w:t>
      </w:r>
      <w:r>
        <w:rPr>
          <w:sz w:val="24"/>
        </w:rPr>
        <w:t>Earlier periods suggest a lower risk premium than</w:t>
      </w:r>
      <w:r w:rsidR="00167727">
        <w:rPr>
          <w:sz w:val="24"/>
        </w:rPr>
        <w:t xml:space="preserve"> in</w:t>
      </w:r>
      <w:r>
        <w:rPr>
          <w:sz w:val="24"/>
        </w:rPr>
        <w:t xml:space="preserve"> recent</w:t>
      </w:r>
      <w:r w:rsidR="00167727">
        <w:rPr>
          <w:sz w:val="24"/>
        </w:rPr>
        <w:t xml:space="preserve"> periods</w:t>
      </w:r>
      <w:r>
        <w:rPr>
          <w:sz w:val="24"/>
        </w:rPr>
        <w:t>, while international risk premiums also tend to be slightly lower. Based on evidence and expectations, 7 percent seems to be a reasonable estimate for the risk premium.</w:t>
      </w:r>
    </w:p>
    <w:p w:rsidR="00303E89" w:rsidRDefault="00303E89" w:rsidP="00303E89">
      <w:pPr>
        <w:ind w:left="720"/>
        <w:rPr>
          <w:b/>
          <w:sz w:val="24"/>
        </w:rPr>
      </w:pPr>
    </w:p>
    <w:p w:rsidR="00E24F00" w:rsidRDefault="00E24F00">
      <w:pPr>
        <w:numPr>
          <w:ilvl w:val="0"/>
          <w:numId w:val="10"/>
        </w:numPr>
        <w:rPr>
          <w:b/>
          <w:sz w:val="24"/>
        </w:rPr>
      </w:pPr>
      <w:r>
        <w:rPr>
          <w:b/>
          <w:sz w:val="24"/>
        </w:rPr>
        <w:t>The First Lesson</w:t>
      </w:r>
      <w:r>
        <w:rPr>
          <w:b/>
          <w:sz w:val="24"/>
        </w:rPr>
        <w:br/>
      </w:r>
    </w:p>
    <w:p w:rsidR="00E24F00" w:rsidRDefault="00E24F00">
      <w:pPr>
        <w:rPr>
          <w:sz w:val="24"/>
        </w:rPr>
      </w:pPr>
      <w:r>
        <w:rPr>
          <w:sz w:val="24"/>
        </w:rPr>
        <w:t>When we calculate the risk premium for large-company stocks (stock return mi</w:t>
      </w:r>
      <w:r w:rsidR="00303E89">
        <w:rPr>
          <w:sz w:val="24"/>
        </w:rPr>
        <w:t xml:space="preserve">nus the T-bill return) we get </w:t>
      </w:r>
      <w:r w:rsidR="004F6D67">
        <w:rPr>
          <w:sz w:val="24"/>
        </w:rPr>
        <w:t>8.3</w:t>
      </w:r>
      <w:r w:rsidR="00303E89">
        <w:rPr>
          <w:sz w:val="24"/>
        </w:rPr>
        <w:t xml:space="preserve">% and for government bonds </w:t>
      </w:r>
      <w:r w:rsidR="004F6D67">
        <w:rPr>
          <w:sz w:val="24"/>
        </w:rPr>
        <w:t>2.6</w:t>
      </w:r>
      <w:r>
        <w:rPr>
          <w:sz w:val="24"/>
        </w:rPr>
        <w:t>%. Of course, the risk premium for T-bills is zero. So we see that risky assets, on average, earn a risk premium, or "there is a reward for bearing risk." The next question is, "Why is there a difference in the risk premiums?" This is addressed in the next section and relates to the variability in returns.</w:t>
      </w:r>
    </w:p>
    <w:p w:rsidR="00E24F00" w:rsidRDefault="00E24F00">
      <w:pPr>
        <w:rPr>
          <w:b/>
          <w:sz w:val="24"/>
        </w:rPr>
      </w:pPr>
      <w:r>
        <w:rPr>
          <w:b/>
          <w:sz w:val="24"/>
        </w:rPr>
        <w:br/>
      </w:r>
    </w:p>
    <w:p w:rsidR="00E24F00" w:rsidRDefault="00E24F00">
      <w:pPr>
        <w:numPr>
          <w:ilvl w:val="1"/>
          <w:numId w:val="17"/>
        </w:numPr>
        <w:rPr>
          <w:b/>
          <w:sz w:val="24"/>
        </w:rPr>
      </w:pPr>
      <w:r>
        <w:rPr>
          <w:b/>
          <w:sz w:val="24"/>
        </w:rPr>
        <w:t>Return Variability: The Second Lesson</w:t>
      </w:r>
    </w:p>
    <w:p w:rsidR="00E24F00" w:rsidRDefault="00E24F00">
      <w:pPr>
        <w:rPr>
          <w:sz w:val="24"/>
        </w:rPr>
      </w:pPr>
    </w:p>
    <w:p w:rsidR="00E24F00" w:rsidRDefault="00E24F00">
      <w:pPr>
        <w:numPr>
          <w:ilvl w:val="0"/>
          <w:numId w:val="27"/>
        </w:numPr>
        <w:rPr>
          <w:sz w:val="24"/>
        </w:rPr>
      </w:pPr>
      <w:r>
        <w:rPr>
          <w:b/>
          <w:sz w:val="24"/>
        </w:rPr>
        <w:t>Frequency Distributions and Variability</w:t>
      </w:r>
    </w:p>
    <w:p w:rsidR="00E24F00" w:rsidRDefault="00E24F00">
      <w:pPr>
        <w:rPr>
          <w:b/>
          <w:sz w:val="24"/>
        </w:rPr>
      </w:pPr>
    </w:p>
    <w:p w:rsidR="00E24F00" w:rsidRDefault="00E24F00">
      <w:pPr>
        <w:ind w:left="720"/>
        <w:rPr>
          <w:sz w:val="24"/>
        </w:rPr>
      </w:pPr>
      <w:r>
        <w:rPr>
          <w:b/>
          <w:i/>
          <w:sz w:val="24"/>
        </w:rPr>
        <w:t>Variance</w:t>
      </w:r>
      <w:r>
        <w:rPr>
          <w:sz w:val="24"/>
        </w:rPr>
        <w:t>: a common measure of volatility.</w:t>
      </w:r>
    </w:p>
    <w:p w:rsidR="00E24F00" w:rsidRDefault="00E24F00">
      <w:pPr>
        <w:ind w:left="720"/>
        <w:rPr>
          <w:sz w:val="24"/>
        </w:rPr>
      </w:pPr>
    </w:p>
    <w:p w:rsidR="00E24F00" w:rsidRDefault="00E24F00">
      <w:pPr>
        <w:ind w:left="720"/>
        <w:rPr>
          <w:sz w:val="24"/>
        </w:rPr>
      </w:pPr>
      <w:r>
        <w:rPr>
          <w:b/>
          <w:i/>
          <w:sz w:val="24"/>
        </w:rPr>
        <w:t>Standard deviation</w:t>
      </w:r>
      <w:r>
        <w:rPr>
          <w:sz w:val="24"/>
        </w:rPr>
        <w:t>: the square root of the variance.</w:t>
      </w:r>
    </w:p>
    <w:p w:rsidR="00E24F00" w:rsidRDefault="00E24F00">
      <w:pPr>
        <w:rPr>
          <w:b/>
          <w:sz w:val="24"/>
        </w:rPr>
      </w:pPr>
    </w:p>
    <w:p w:rsidR="00E24F00" w:rsidRDefault="00E24F00">
      <w:pPr>
        <w:rPr>
          <w:sz w:val="24"/>
        </w:rPr>
      </w:pPr>
      <w:r>
        <w:rPr>
          <w:sz w:val="24"/>
        </w:rPr>
        <w:t>Variance and standard deviation provide a measure of return volatility or how much the actual return differs from this average in a typical year. This is the same variance and standard deviation discussed in statistics courses.</w:t>
      </w:r>
    </w:p>
    <w:p w:rsidR="00E24F00" w:rsidRDefault="00E24F00">
      <w:pPr>
        <w:rPr>
          <w:sz w:val="24"/>
        </w:rPr>
      </w:pPr>
    </w:p>
    <w:p w:rsidR="00E24F00" w:rsidRDefault="00E24F00">
      <w:pPr>
        <w:keepNext/>
        <w:numPr>
          <w:ilvl w:val="0"/>
          <w:numId w:val="27"/>
        </w:numPr>
        <w:rPr>
          <w:b/>
          <w:sz w:val="24"/>
        </w:rPr>
      </w:pPr>
      <w:r>
        <w:rPr>
          <w:b/>
          <w:sz w:val="24"/>
        </w:rPr>
        <w:t>The Historical Variance and Standard Deviation</w:t>
      </w:r>
    </w:p>
    <w:p w:rsidR="00E24F00" w:rsidRDefault="00E24F00">
      <w:pPr>
        <w:rPr>
          <w:b/>
          <w:sz w:val="24"/>
        </w:rPr>
      </w:pPr>
    </w:p>
    <w:p w:rsidR="00E24F00" w:rsidRDefault="00E24F00">
      <w:pPr>
        <w:rPr>
          <w:sz w:val="24"/>
        </w:rPr>
      </w:pPr>
      <w:r>
        <w:rPr>
          <w:sz w:val="24"/>
        </w:rPr>
        <w:t xml:space="preserve">The variance measures the average squared difference between the actual returns and the average return. The larger this number, the more the actual </w:t>
      </w:r>
      <w:r>
        <w:rPr>
          <w:sz w:val="24"/>
        </w:rPr>
        <w:lastRenderedPageBreak/>
        <w:t>returns differ from the average return. Note how the stocks have a much larger standard deviation than the bonds and were therefore more volatile.</w:t>
      </w:r>
    </w:p>
    <w:p w:rsidR="00E24F00" w:rsidRDefault="00E24F00">
      <w:pPr>
        <w:rPr>
          <w:sz w:val="24"/>
        </w:rPr>
      </w:pPr>
    </w:p>
    <w:p w:rsidR="00E24F00" w:rsidRDefault="00E24F00">
      <w:pPr>
        <w:rPr>
          <w:sz w:val="24"/>
        </w:rPr>
      </w:pPr>
      <w:r>
        <w:rPr>
          <w:b/>
          <w:sz w:val="24"/>
        </w:rPr>
        <w:t>Lecture Tip</w:t>
      </w:r>
      <w:r>
        <w:rPr>
          <w:sz w:val="24"/>
        </w:rPr>
        <w:t>: Although all students should have been exposed to calculating variance and standard deviation, many still have difficulty with it. Another method to illustrate how to calculate the variance is to structure it in the form of a table where each step is a separate column. This is illustrated below using the data in the text.</w:t>
      </w:r>
    </w:p>
    <w:p w:rsidR="00E24F00" w:rsidRDefault="00E24F00">
      <w:pPr>
        <w:rPr>
          <w:sz w:val="24"/>
        </w:rPr>
      </w:pPr>
    </w:p>
    <w:p w:rsidR="00E24F00" w:rsidRDefault="00E24F00">
      <w:pPr>
        <w:rPr>
          <w:sz w:val="24"/>
        </w:rPr>
      </w:pPr>
      <w:r>
        <w:rPr>
          <w:sz w:val="24"/>
        </w:rPr>
        <w:t>For 1926-1930, the average return for large-company stocks (as represented by the S&amp;P 500) = (</w:t>
      </w:r>
      <w:r w:rsidR="00167727">
        <w:rPr>
          <w:sz w:val="24"/>
        </w:rPr>
        <w:t>11.14 + 37.13 + 43.31 – 8.91 – 25.26</w:t>
      </w:r>
      <w:r>
        <w:rPr>
          <w:sz w:val="24"/>
        </w:rPr>
        <w:t>)</w:t>
      </w:r>
      <w:r w:rsidR="00167727">
        <w:rPr>
          <w:sz w:val="24"/>
        </w:rPr>
        <w:t xml:space="preserve"> </w:t>
      </w:r>
      <w:r>
        <w:rPr>
          <w:sz w:val="24"/>
        </w:rPr>
        <w:t>/</w:t>
      </w:r>
      <w:r w:rsidR="00167727">
        <w:rPr>
          <w:sz w:val="24"/>
        </w:rPr>
        <w:t xml:space="preserve"> </w:t>
      </w:r>
      <w:r>
        <w:rPr>
          <w:sz w:val="24"/>
        </w:rPr>
        <w:t xml:space="preserve">5 = </w:t>
      </w:r>
      <w:r w:rsidR="00167727">
        <w:rPr>
          <w:sz w:val="24"/>
        </w:rPr>
        <w:t xml:space="preserve">57.41 </w:t>
      </w:r>
      <w:r>
        <w:rPr>
          <w:sz w:val="24"/>
        </w:rPr>
        <w:t>/</w:t>
      </w:r>
      <w:r w:rsidR="00167727">
        <w:rPr>
          <w:sz w:val="24"/>
        </w:rPr>
        <w:t xml:space="preserve"> </w:t>
      </w:r>
      <w:r>
        <w:rPr>
          <w:sz w:val="24"/>
        </w:rPr>
        <w:t xml:space="preserve">5 = </w:t>
      </w:r>
      <w:r w:rsidR="00167727">
        <w:rPr>
          <w:sz w:val="24"/>
        </w:rPr>
        <w:t>11.48</w:t>
      </w:r>
      <w:r>
        <w:rPr>
          <w:sz w:val="24"/>
        </w:rPr>
        <w:t>%</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790"/>
        <w:gridCol w:w="2324"/>
        <w:gridCol w:w="1350"/>
        <w:gridCol w:w="1546"/>
      </w:tblGrid>
      <w:tr w:rsidR="00E24F00">
        <w:tblPrEx>
          <w:tblCellMar>
            <w:top w:w="0" w:type="dxa"/>
            <w:bottom w:w="0" w:type="dxa"/>
          </w:tblCellMar>
        </w:tblPrEx>
        <w:tc>
          <w:tcPr>
            <w:tcW w:w="1170" w:type="dxa"/>
          </w:tcPr>
          <w:p w:rsidR="00E24F00" w:rsidRDefault="00E24F00">
            <w:pPr>
              <w:jc w:val="center"/>
              <w:rPr>
                <w:b/>
                <w:sz w:val="24"/>
                <w:vertAlign w:val="subscript"/>
              </w:rPr>
            </w:pPr>
            <w:r>
              <w:rPr>
                <w:b/>
                <w:sz w:val="24"/>
              </w:rPr>
              <w:t>R</w:t>
            </w:r>
            <w:r>
              <w:rPr>
                <w:b/>
                <w:sz w:val="24"/>
                <w:vertAlign w:val="subscript"/>
              </w:rPr>
              <w:t>N</w:t>
            </w:r>
          </w:p>
        </w:tc>
        <w:tc>
          <w:tcPr>
            <w:tcW w:w="2790" w:type="dxa"/>
          </w:tcPr>
          <w:p w:rsidR="00E24F00" w:rsidRDefault="00E24F00">
            <w:pPr>
              <w:jc w:val="center"/>
              <w:rPr>
                <w:b/>
                <w:sz w:val="24"/>
              </w:rPr>
            </w:pPr>
            <w:r>
              <w:rPr>
                <w:b/>
                <w:sz w:val="24"/>
              </w:rPr>
              <w:t>R</w:t>
            </w:r>
            <w:r>
              <w:rPr>
                <w:b/>
                <w:sz w:val="24"/>
                <w:vertAlign w:val="subscript"/>
              </w:rPr>
              <w:t>N</w:t>
            </w:r>
            <w:r>
              <w:rPr>
                <w:b/>
                <w:sz w:val="24"/>
              </w:rPr>
              <w:t xml:space="preserve"> - R</w:t>
            </w:r>
            <w:r>
              <w:rPr>
                <w:b/>
                <w:sz w:val="24"/>
                <w:vertAlign w:val="subscript"/>
              </w:rPr>
              <w:t>A</w:t>
            </w:r>
          </w:p>
        </w:tc>
        <w:tc>
          <w:tcPr>
            <w:tcW w:w="2324" w:type="dxa"/>
          </w:tcPr>
          <w:p w:rsidR="00E24F00" w:rsidRDefault="00E24F00">
            <w:pPr>
              <w:jc w:val="center"/>
              <w:rPr>
                <w:b/>
                <w:sz w:val="24"/>
              </w:rPr>
            </w:pPr>
            <w:r>
              <w:rPr>
                <w:b/>
                <w:sz w:val="24"/>
              </w:rPr>
              <w:t>(R</w:t>
            </w:r>
            <w:r>
              <w:rPr>
                <w:b/>
                <w:sz w:val="24"/>
                <w:vertAlign w:val="subscript"/>
              </w:rPr>
              <w:t>N</w:t>
            </w:r>
            <w:r>
              <w:rPr>
                <w:b/>
                <w:sz w:val="24"/>
              </w:rPr>
              <w:t xml:space="preserve"> - R</w:t>
            </w:r>
            <w:r>
              <w:rPr>
                <w:b/>
                <w:sz w:val="24"/>
                <w:vertAlign w:val="subscript"/>
              </w:rPr>
              <w:t>A</w:t>
            </w:r>
            <w:r>
              <w:rPr>
                <w:b/>
                <w:sz w:val="24"/>
              </w:rPr>
              <w:t>)</w:t>
            </w:r>
            <w:r>
              <w:rPr>
                <w:b/>
                <w:sz w:val="24"/>
                <w:vertAlign w:val="superscript"/>
              </w:rPr>
              <w:t>2</w:t>
            </w:r>
          </w:p>
        </w:tc>
        <w:tc>
          <w:tcPr>
            <w:tcW w:w="1350" w:type="dxa"/>
          </w:tcPr>
          <w:p w:rsidR="00E24F00" w:rsidRDefault="00E24F00">
            <w:pPr>
              <w:jc w:val="center"/>
              <w:rPr>
                <w:sz w:val="24"/>
              </w:rPr>
            </w:pPr>
          </w:p>
        </w:tc>
        <w:tc>
          <w:tcPr>
            <w:tcW w:w="1546" w:type="dxa"/>
          </w:tcPr>
          <w:p w:rsidR="00E24F00" w:rsidRDefault="00E24F00">
            <w:pPr>
              <w:jc w:val="center"/>
              <w:rPr>
                <w:sz w:val="24"/>
              </w:rPr>
            </w:pPr>
          </w:p>
        </w:tc>
      </w:tr>
      <w:tr w:rsidR="00E24F00">
        <w:tblPrEx>
          <w:tblCellMar>
            <w:top w:w="0" w:type="dxa"/>
            <w:bottom w:w="0" w:type="dxa"/>
          </w:tblCellMar>
        </w:tblPrEx>
        <w:tc>
          <w:tcPr>
            <w:tcW w:w="1170" w:type="dxa"/>
          </w:tcPr>
          <w:p w:rsidR="00E24F00" w:rsidRDefault="00167727">
            <w:pPr>
              <w:jc w:val="center"/>
              <w:rPr>
                <w:sz w:val="24"/>
              </w:rPr>
            </w:pPr>
            <w:r>
              <w:rPr>
                <w:sz w:val="24"/>
              </w:rPr>
              <w:t>11.14</w:t>
            </w:r>
            <w:r w:rsidR="00E24F00">
              <w:rPr>
                <w:sz w:val="24"/>
              </w:rPr>
              <w:t>%</w:t>
            </w:r>
          </w:p>
        </w:tc>
        <w:tc>
          <w:tcPr>
            <w:tcW w:w="2790" w:type="dxa"/>
          </w:tcPr>
          <w:p w:rsidR="00E24F00" w:rsidRDefault="00167727" w:rsidP="00167727">
            <w:pPr>
              <w:jc w:val="center"/>
              <w:rPr>
                <w:sz w:val="24"/>
              </w:rPr>
            </w:pPr>
            <w:r>
              <w:rPr>
                <w:sz w:val="24"/>
              </w:rPr>
              <w:t>11.14</w:t>
            </w:r>
            <w:r w:rsidR="00E24F00">
              <w:rPr>
                <w:sz w:val="24"/>
              </w:rPr>
              <w:t xml:space="preserve"> -</w:t>
            </w:r>
            <w:r>
              <w:rPr>
                <w:sz w:val="24"/>
              </w:rPr>
              <w:t>11.48</w:t>
            </w:r>
            <w:r w:rsidR="00E24F00">
              <w:rPr>
                <w:sz w:val="24"/>
              </w:rPr>
              <w:t xml:space="preserve"> = </w:t>
            </w:r>
            <w:r>
              <w:rPr>
                <w:sz w:val="24"/>
              </w:rPr>
              <w:t>-.34</w:t>
            </w:r>
          </w:p>
        </w:tc>
        <w:tc>
          <w:tcPr>
            <w:tcW w:w="2324" w:type="dxa"/>
          </w:tcPr>
          <w:p w:rsidR="00E24F00" w:rsidRDefault="00E24F00" w:rsidP="00167727">
            <w:pPr>
              <w:jc w:val="center"/>
              <w:rPr>
                <w:sz w:val="24"/>
              </w:rPr>
            </w:pPr>
            <w:r>
              <w:rPr>
                <w:sz w:val="24"/>
              </w:rPr>
              <w:t>(</w:t>
            </w:r>
            <w:r w:rsidR="00167727">
              <w:rPr>
                <w:sz w:val="24"/>
              </w:rPr>
              <w:t>-.34</w:t>
            </w:r>
            <w:r>
              <w:rPr>
                <w:sz w:val="24"/>
              </w:rPr>
              <w:t>)</w:t>
            </w:r>
            <w:r>
              <w:rPr>
                <w:sz w:val="24"/>
                <w:vertAlign w:val="superscript"/>
              </w:rPr>
              <w:t>2</w:t>
            </w:r>
            <w:r>
              <w:rPr>
                <w:sz w:val="24"/>
              </w:rPr>
              <w:t>=</w:t>
            </w:r>
            <w:r w:rsidR="00167727">
              <w:rPr>
                <w:sz w:val="24"/>
              </w:rPr>
              <w:t>.12</w:t>
            </w:r>
          </w:p>
        </w:tc>
        <w:tc>
          <w:tcPr>
            <w:tcW w:w="1350" w:type="dxa"/>
          </w:tcPr>
          <w:p w:rsidR="00E24F00" w:rsidRDefault="00E24F00">
            <w:pPr>
              <w:jc w:val="center"/>
              <w:rPr>
                <w:sz w:val="24"/>
              </w:rPr>
            </w:pPr>
          </w:p>
        </w:tc>
        <w:tc>
          <w:tcPr>
            <w:tcW w:w="1546" w:type="dxa"/>
          </w:tcPr>
          <w:p w:rsidR="00E24F00" w:rsidRDefault="00E24F00">
            <w:pPr>
              <w:jc w:val="center"/>
              <w:rPr>
                <w:sz w:val="24"/>
              </w:rPr>
            </w:pPr>
          </w:p>
        </w:tc>
      </w:tr>
      <w:tr w:rsidR="00E24F00">
        <w:tblPrEx>
          <w:tblCellMar>
            <w:top w:w="0" w:type="dxa"/>
            <w:bottom w:w="0" w:type="dxa"/>
          </w:tblCellMar>
        </w:tblPrEx>
        <w:tc>
          <w:tcPr>
            <w:tcW w:w="1170" w:type="dxa"/>
            <w:vAlign w:val="center"/>
          </w:tcPr>
          <w:p w:rsidR="00E24F00" w:rsidRDefault="00167727">
            <w:pPr>
              <w:jc w:val="center"/>
              <w:rPr>
                <w:sz w:val="24"/>
              </w:rPr>
            </w:pPr>
            <w:r>
              <w:rPr>
                <w:sz w:val="24"/>
              </w:rPr>
              <w:t>37.13</w:t>
            </w:r>
            <w:r w:rsidR="00E24F00">
              <w:rPr>
                <w:sz w:val="24"/>
              </w:rPr>
              <w:t>%</w:t>
            </w:r>
          </w:p>
        </w:tc>
        <w:tc>
          <w:tcPr>
            <w:tcW w:w="2790" w:type="dxa"/>
          </w:tcPr>
          <w:p w:rsidR="00E24F00" w:rsidRDefault="000262CC" w:rsidP="000262CC">
            <w:pPr>
              <w:jc w:val="center"/>
              <w:rPr>
                <w:sz w:val="24"/>
              </w:rPr>
            </w:pPr>
            <w:r>
              <w:rPr>
                <w:sz w:val="24"/>
              </w:rPr>
              <w:t>37.13</w:t>
            </w:r>
            <w:r w:rsidR="00E24F00">
              <w:rPr>
                <w:sz w:val="24"/>
              </w:rPr>
              <w:t xml:space="preserve"> -</w:t>
            </w:r>
            <w:r w:rsidR="00167727">
              <w:rPr>
                <w:sz w:val="24"/>
              </w:rPr>
              <w:t>11.48</w:t>
            </w:r>
            <w:r w:rsidR="00E24F00">
              <w:rPr>
                <w:sz w:val="24"/>
              </w:rPr>
              <w:t xml:space="preserve">= </w:t>
            </w:r>
            <w:r>
              <w:rPr>
                <w:sz w:val="24"/>
              </w:rPr>
              <w:t>25.65</w:t>
            </w:r>
          </w:p>
        </w:tc>
        <w:tc>
          <w:tcPr>
            <w:tcW w:w="2324" w:type="dxa"/>
          </w:tcPr>
          <w:p w:rsidR="00E24F00" w:rsidRDefault="00E24F00" w:rsidP="000262CC">
            <w:pPr>
              <w:jc w:val="center"/>
              <w:rPr>
                <w:sz w:val="24"/>
              </w:rPr>
            </w:pPr>
            <w:r>
              <w:rPr>
                <w:sz w:val="24"/>
              </w:rPr>
              <w:t>(</w:t>
            </w:r>
            <w:r w:rsidR="000262CC">
              <w:rPr>
                <w:sz w:val="24"/>
              </w:rPr>
              <w:t>25.65</w:t>
            </w:r>
            <w:r>
              <w:rPr>
                <w:sz w:val="24"/>
              </w:rPr>
              <w:t>)</w:t>
            </w:r>
            <w:r>
              <w:rPr>
                <w:sz w:val="24"/>
                <w:vertAlign w:val="superscript"/>
              </w:rPr>
              <w:t>2</w:t>
            </w:r>
            <w:r>
              <w:rPr>
                <w:sz w:val="24"/>
              </w:rPr>
              <w:t>=</w:t>
            </w:r>
            <w:r w:rsidR="000262CC">
              <w:rPr>
                <w:sz w:val="24"/>
              </w:rPr>
              <w:t>6</w:t>
            </w:r>
            <w:r w:rsidR="00084AEE">
              <w:rPr>
                <w:sz w:val="24"/>
              </w:rPr>
              <w:t>57.8</w:t>
            </w:r>
            <w:r w:rsidR="000262CC">
              <w:rPr>
                <w:sz w:val="24"/>
              </w:rPr>
              <w:t>2</w:t>
            </w:r>
          </w:p>
        </w:tc>
        <w:tc>
          <w:tcPr>
            <w:tcW w:w="1350" w:type="dxa"/>
          </w:tcPr>
          <w:p w:rsidR="00E24F00" w:rsidRDefault="00E24F00">
            <w:pPr>
              <w:jc w:val="center"/>
              <w:rPr>
                <w:sz w:val="24"/>
              </w:rPr>
            </w:pPr>
          </w:p>
        </w:tc>
        <w:tc>
          <w:tcPr>
            <w:tcW w:w="1546" w:type="dxa"/>
          </w:tcPr>
          <w:p w:rsidR="00E24F00" w:rsidRDefault="00E24F00">
            <w:pPr>
              <w:jc w:val="center"/>
              <w:rPr>
                <w:sz w:val="24"/>
              </w:rPr>
            </w:pPr>
          </w:p>
        </w:tc>
      </w:tr>
      <w:tr w:rsidR="00E24F00">
        <w:tblPrEx>
          <w:tblCellMar>
            <w:top w:w="0" w:type="dxa"/>
            <w:bottom w:w="0" w:type="dxa"/>
          </w:tblCellMar>
        </w:tblPrEx>
        <w:tc>
          <w:tcPr>
            <w:tcW w:w="1170" w:type="dxa"/>
          </w:tcPr>
          <w:p w:rsidR="00E24F00" w:rsidRDefault="00084AEE">
            <w:pPr>
              <w:jc w:val="center"/>
              <w:rPr>
                <w:sz w:val="24"/>
              </w:rPr>
            </w:pPr>
            <w:r>
              <w:rPr>
                <w:sz w:val="24"/>
              </w:rPr>
              <w:t>43.31</w:t>
            </w:r>
            <w:r w:rsidR="00E24F00">
              <w:rPr>
                <w:sz w:val="24"/>
              </w:rPr>
              <w:t>%</w:t>
            </w:r>
          </w:p>
        </w:tc>
        <w:tc>
          <w:tcPr>
            <w:tcW w:w="2790" w:type="dxa"/>
          </w:tcPr>
          <w:p w:rsidR="00E24F00" w:rsidRDefault="00084AEE" w:rsidP="00084AEE">
            <w:pPr>
              <w:jc w:val="center"/>
              <w:rPr>
                <w:sz w:val="24"/>
              </w:rPr>
            </w:pPr>
            <w:r>
              <w:rPr>
                <w:sz w:val="24"/>
              </w:rPr>
              <w:t>43.31</w:t>
            </w:r>
            <w:r w:rsidR="00E24F00">
              <w:rPr>
                <w:sz w:val="24"/>
              </w:rPr>
              <w:t xml:space="preserve"> -</w:t>
            </w:r>
            <w:r w:rsidR="00167727">
              <w:rPr>
                <w:sz w:val="24"/>
              </w:rPr>
              <w:t>11.48</w:t>
            </w:r>
            <w:r w:rsidR="00E24F00">
              <w:rPr>
                <w:sz w:val="24"/>
              </w:rPr>
              <w:t xml:space="preserve">= </w:t>
            </w:r>
            <w:r>
              <w:rPr>
                <w:sz w:val="24"/>
              </w:rPr>
              <w:t>31.83</w:t>
            </w:r>
          </w:p>
        </w:tc>
        <w:tc>
          <w:tcPr>
            <w:tcW w:w="2324" w:type="dxa"/>
          </w:tcPr>
          <w:p w:rsidR="00E24F00" w:rsidRDefault="00084AEE" w:rsidP="00084AEE">
            <w:pPr>
              <w:jc w:val="center"/>
              <w:rPr>
                <w:sz w:val="24"/>
              </w:rPr>
            </w:pPr>
            <w:r>
              <w:rPr>
                <w:sz w:val="24"/>
              </w:rPr>
              <w:t>(31.83</w:t>
            </w:r>
            <w:r w:rsidR="00E24F00">
              <w:rPr>
                <w:sz w:val="24"/>
              </w:rPr>
              <w:t>)</w:t>
            </w:r>
            <w:r w:rsidR="00E24F00">
              <w:rPr>
                <w:sz w:val="24"/>
                <w:vertAlign w:val="superscript"/>
              </w:rPr>
              <w:t>2</w:t>
            </w:r>
            <w:r w:rsidR="00E24F00">
              <w:rPr>
                <w:sz w:val="24"/>
              </w:rPr>
              <w:t>=1,</w:t>
            </w:r>
            <w:r>
              <w:rPr>
                <w:sz w:val="24"/>
              </w:rPr>
              <w:t>013.02</w:t>
            </w:r>
          </w:p>
        </w:tc>
        <w:tc>
          <w:tcPr>
            <w:tcW w:w="1350" w:type="dxa"/>
          </w:tcPr>
          <w:p w:rsidR="00E24F00" w:rsidRDefault="00E24F00">
            <w:pPr>
              <w:jc w:val="center"/>
              <w:rPr>
                <w:sz w:val="24"/>
              </w:rPr>
            </w:pPr>
          </w:p>
        </w:tc>
        <w:tc>
          <w:tcPr>
            <w:tcW w:w="1546" w:type="dxa"/>
          </w:tcPr>
          <w:p w:rsidR="00E24F00" w:rsidRDefault="00E24F00">
            <w:pPr>
              <w:jc w:val="center"/>
              <w:rPr>
                <w:sz w:val="24"/>
              </w:rPr>
            </w:pPr>
          </w:p>
        </w:tc>
      </w:tr>
      <w:tr w:rsidR="00E24F00">
        <w:tblPrEx>
          <w:tblCellMar>
            <w:top w:w="0" w:type="dxa"/>
            <w:bottom w:w="0" w:type="dxa"/>
          </w:tblCellMar>
        </w:tblPrEx>
        <w:tc>
          <w:tcPr>
            <w:tcW w:w="1170" w:type="dxa"/>
          </w:tcPr>
          <w:p w:rsidR="00E24F00" w:rsidRDefault="00084AEE" w:rsidP="000262CC">
            <w:pPr>
              <w:jc w:val="center"/>
              <w:rPr>
                <w:sz w:val="24"/>
              </w:rPr>
            </w:pPr>
            <w:r>
              <w:rPr>
                <w:sz w:val="24"/>
              </w:rPr>
              <w:t>-8.91</w:t>
            </w:r>
            <w:r w:rsidR="00E24F00">
              <w:rPr>
                <w:sz w:val="24"/>
              </w:rPr>
              <w:t>%</w:t>
            </w:r>
          </w:p>
        </w:tc>
        <w:tc>
          <w:tcPr>
            <w:tcW w:w="2790" w:type="dxa"/>
          </w:tcPr>
          <w:p w:rsidR="00E24F00" w:rsidRDefault="00084AEE" w:rsidP="00084AEE">
            <w:pPr>
              <w:jc w:val="center"/>
              <w:rPr>
                <w:sz w:val="24"/>
              </w:rPr>
            </w:pPr>
            <w:r>
              <w:rPr>
                <w:sz w:val="24"/>
              </w:rPr>
              <w:t>-8.91</w:t>
            </w:r>
            <w:r w:rsidR="00E24F00">
              <w:rPr>
                <w:sz w:val="24"/>
              </w:rPr>
              <w:t xml:space="preserve"> -</w:t>
            </w:r>
            <w:r w:rsidR="00167727">
              <w:rPr>
                <w:sz w:val="24"/>
              </w:rPr>
              <w:t>11.48</w:t>
            </w:r>
            <w:r w:rsidR="00E24F00">
              <w:rPr>
                <w:sz w:val="24"/>
              </w:rPr>
              <w:t xml:space="preserve"> = -</w:t>
            </w:r>
            <w:r>
              <w:rPr>
                <w:sz w:val="24"/>
              </w:rPr>
              <w:t>20.39</w:t>
            </w:r>
          </w:p>
        </w:tc>
        <w:tc>
          <w:tcPr>
            <w:tcW w:w="2324" w:type="dxa"/>
          </w:tcPr>
          <w:p w:rsidR="00E24F00" w:rsidRDefault="00E24F00" w:rsidP="00084AEE">
            <w:pPr>
              <w:jc w:val="center"/>
              <w:rPr>
                <w:sz w:val="24"/>
              </w:rPr>
            </w:pPr>
            <w:r>
              <w:rPr>
                <w:sz w:val="24"/>
              </w:rPr>
              <w:t>(-20.</w:t>
            </w:r>
            <w:r w:rsidR="00084AEE">
              <w:rPr>
                <w:sz w:val="24"/>
              </w:rPr>
              <w:t>39</w:t>
            </w:r>
            <w:r>
              <w:rPr>
                <w:sz w:val="24"/>
              </w:rPr>
              <w:t>)</w:t>
            </w:r>
            <w:r>
              <w:rPr>
                <w:sz w:val="24"/>
                <w:vertAlign w:val="superscript"/>
              </w:rPr>
              <w:t>2</w:t>
            </w:r>
            <w:r>
              <w:rPr>
                <w:sz w:val="24"/>
              </w:rPr>
              <w:t>=</w:t>
            </w:r>
            <w:r w:rsidR="00084AEE">
              <w:rPr>
                <w:sz w:val="24"/>
              </w:rPr>
              <w:t>415.83</w:t>
            </w:r>
          </w:p>
        </w:tc>
        <w:tc>
          <w:tcPr>
            <w:tcW w:w="1350" w:type="dxa"/>
          </w:tcPr>
          <w:p w:rsidR="00E24F00" w:rsidRDefault="00E24F00">
            <w:pPr>
              <w:jc w:val="center"/>
              <w:rPr>
                <w:sz w:val="24"/>
              </w:rPr>
            </w:pPr>
          </w:p>
        </w:tc>
        <w:tc>
          <w:tcPr>
            <w:tcW w:w="1546" w:type="dxa"/>
          </w:tcPr>
          <w:p w:rsidR="00E24F00" w:rsidRDefault="00E24F00">
            <w:pPr>
              <w:jc w:val="center"/>
              <w:rPr>
                <w:sz w:val="24"/>
              </w:rPr>
            </w:pPr>
          </w:p>
        </w:tc>
      </w:tr>
      <w:tr w:rsidR="00E24F00">
        <w:tblPrEx>
          <w:tblCellMar>
            <w:top w:w="0" w:type="dxa"/>
            <w:bottom w:w="0" w:type="dxa"/>
          </w:tblCellMar>
        </w:tblPrEx>
        <w:tc>
          <w:tcPr>
            <w:tcW w:w="1170" w:type="dxa"/>
          </w:tcPr>
          <w:p w:rsidR="00E24F00" w:rsidRDefault="00084AEE" w:rsidP="000262CC">
            <w:pPr>
              <w:jc w:val="center"/>
              <w:rPr>
                <w:sz w:val="24"/>
              </w:rPr>
            </w:pPr>
            <w:r>
              <w:rPr>
                <w:sz w:val="24"/>
              </w:rPr>
              <w:t>-25.26</w:t>
            </w:r>
            <w:r w:rsidR="00E24F00">
              <w:rPr>
                <w:sz w:val="24"/>
              </w:rPr>
              <w:t>%</w:t>
            </w:r>
          </w:p>
        </w:tc>
        <w:tc>
          <w:tcPr>
            <w:tcW w:w="2790" w:type="dxa"/>
          </w:tcPr>
          <w:p w:rsidR="00E24F00" w:rsidRDefault="00084AEE" w:rsidP="00084AEE">
            <w:pPr>
              <w:jc w:val="center"/>
              <w:rPr>
                <w:sz w:val="24"/>
              </w:rPr>
            </w:pPr>
            <w:r>
              <w:rPr>
                <w:sz w:val="24"/>
              </w:rPr>
              <w:t>-25.26</w:t>
            </w:r>
            <w:r w:rsidR="00E24F00">
              <w:rPr>
                <w:sz w:val="24"/>
              </w:rPr>
              <w:t xml:space="preserve"> -</w:t>
            </w:r>
            <w:r w:rsidR="00167727">
              <w:rPr>
                <w:sz w:val="24"/>
              </w:rPr>
              <w:t>11.48</w:t>
            </w:r>
            <w:r w:rsidR="00E24F00">
              <w:rPr>
                <w:sz w:val="24"/>
              </w:rPr>
              <w:t xml:space="preserve"> = -</w:t>
            </w:r>
            <w:r>
              <w:rPr>
                <w:sz w:val="24"/>
              </w:rPr>
              <w:t>36.74</w:t>
            </w:r>
          </w:p>
        </w:tc>
        <w:tc>
          <w:tcPr>
            <w:tcW w:w="2324" w:type="dxa"/>
          </w:tcPr>
          <w:p w:rsidR="00E24F00" w:rsidRDefault="00084AEE" w:rsidP="00084AEE">
            <w:pPr>
              <w:jc w:val="center"/>
              <w:rPr>
                <w:sz w:val="24"/>
              </w:rPr>
            </w:pPr>
            <w:r>
              <w:rPr>
                <w:sz w:val="24"/>
              </w:rPr>
              <w:t>(-36.74</w:t>
            </w:r>
            <w:r w:rsidR="00E24F00">
              <w:rPr>
                <w:sz w:val="24"/>
              </w:rPr>
              <w:t>)</w:t>
            </w:r>
            <w:r w:rsidR="00E24F00">
              <w:rPr>
                <w:sz w:val="24"/>
                <w:vertAlign w:val="superscript"/>
              </w:rPr>
              <w:t>2</w:t>
            </w:r>
            <w:r w:rsidR="00E24F00">
              <w:rPr>
                <w:sz w:val="24"/>
              </w:rPr>
              <w:t>=1,</w:t>
            </w:r>
            <w:r>
              <w:rPr>
                <w:sz w:val="24"/>
              </w:rPr>
              <w:t>349.97</w:t>
            </w:r>
          </w:p>
        </w:tc>
        <w:tc>
          <w:tcPr>
            <w:tcW w:w="1350" w:type="dxa"/>
          </w:tcPr>
          <w:p w:rsidR="00E24F00" w:rsidRDefault="00E24F00">
            <w:pPr>
              <w:jc w:val="center"/>
              <w:rPr>
                <w:sz w:val="24"/>
              </w:rPr>
            </w:pPr>
          </w:p>
        </w:tc>
        <w:tc>
          <w:tcPr>
            <w:tcW w:w="1546" w:type="dxa"/>
          </w:tcPr>
          <w:p w:rsidR="00E24F00" w:rsidRDefault="00E24F00">
            <w:pPr>
              <w:jc w:val="center"/>
              <w:rPr>
                <w:sz w:val="24"/>
              </w:rPr>
            </w:pPr>
          </w:p>
        </w:tc>
      </w:tr>
      <w:tr w:rsidR="00E24F00">
        <w:tblPrEx>
          <w:tblCellMar>
            <w:top w:w="0" w:type="dxa"/>
            <w:bottom w:w="0" w:type="dxa"/>
          </w:tblCellMar>
        </w:tblPrEx>
        <w:tc>
          <w:tcPr>
            <w:tcW w:w="1170" w:type="dxa"/>
          </w:tcPr>
          <w:p w:rsidR="00E24F00" w:rsidRDefault="00E24F00">
            <w:pPr>
              <w:jc w:val="center"/>
              <w:rPr>
                <w:sz w:val="24"/>
              </w:rPr>
            </w:pPr>
          </w:p>
        </w:tc>
        <w:tc>
          <w:tcPr>
            <w:tcW w:w="2790" w:type="dxa"/>
          </w:tcPr>
          <w:p w:rsidR="00E24F00" w:rsidRDefault="00E24F00">
            <w:pPr>
              <w:jc w:val="center"/>
              <w:rPr>
                <w:sz w:val="24"/>
              </w:rPr>
            </w:pPr>
          </w:p>
        </w:tc>
        <w:tc>
          <w:tcPr>
            <w:tcW w:w="2324" w:type="dxa"/>
          </w:tcPr>
          <w:p w:rsidR="00E24F00" w:rsidRDefault="00E24F00">
            <w:pPr>
              <w:jc w:val="center"/>
              <w:rPr>
                <w:b/>
                <w:sz w:val="24"/>
              </w:rPr>
            </w:pPr>
            <w:r>
              <w:rPr>
                <w:b/>
                <w:sz w:val="24"/>
              </w:rPr>
              <w:t>Sum of squares =</w:t>
            </w:r>
          </w:p>
        </w:tc>
        <w:tc>
          <w:tcPr>
            <w:tcW w:w="1350" w:type="dxa"/>
          </w:tcPr>
          <w:p w:rsidR="00E24F00" w:rsidRDefault="00E24F00" w:rsidP="00084AEE">
            <w:pPr>
              <w:jc w:val="center"/>
              <w:rPr>
                <w:sz w:val="24"/>
              </w:rPr>
            </w:pPr>
            <w:r>
              <w:rPr>
                <w:sz w:val="24"/>
              </w:rPr>
              <w:t>3,4</w:t>
            </w:r>
            <w:r w:rsidR="00084AEE">
              <w:rPr>
                <w:sz w:val="24"/>
              </w:rPr>
              <w:t>36.77</w:t>
            </w:r>
          </w:p>
        </w:tc>
        <w:tc>
          <w:tcPr>
            <w:tcW w:w="1546" w:type="dxa"/>
          </w:tcPr>
          <w:p w:rsidR="00E24F00" w:rsidRDefault="00E24F00">
            <w:pPr>
              <w:jc w:val="center"/>
              <w:rPr>
                <w:sz w:val="24"/>
              </w:rPr>
            </w:pPr>
          </w:p>
        </w:tc>
      </w:tr>
      <w:tr w:rsidR="00E24F00">
        <w:tblPrEx>
          <w:tblCellMar>
            <w:top w:w="0" w:type="dxa"/>
            <w:bottom w:w="0" w:type="dxa"/>
          </w:tblCellMar>
        </w:tblPrEx>
        <w:tc>
          <w:tcPr>
            <w:tcW w:w="1170" w:type="dxa"/>
          </w:tcPr>
          <w:p w:rsidR="00E24F00" w:rsidRDefault="00E24F00">
            <w:pPr>
              <w:jc w:val="center"/>
              <w:rPr>
                <w:sz w:val="24"/>
              </w:rPr>
            </w:pPr>
          </w:p>
        </w:tc>
        <w:tc>
          <w:tcPr>
            <w:tcW w:w="2790" w:type="dxa"/>
          </w:tcPr>
          <w:p w:rsidR="00E24F00" w:rsidRDefault="00E24F00">
            <w:pPr>
              <w:jc w:val="center"/>
              <w:rPr>
                <w:sz w:val="24"/>
              </w:rPr>
            </w:pPr>
            <w:r>
              <w:rPr>
                <w:b/>
                <w:sz w:val="24"/>
              </w:rPr>
              <w:t>(R</w:t>
            </w:r>
            <w:r>
              <w:rPr>
                <w:b/>
                <w:sz w:val="24"/>
                <w:vertAlign w:val="subscript"/>
              </w:rPr>
              <w:t>N</w:t>
            </w:r>
            <w:r>
              <w:rPr>
                <w:b/>
                <w:sz w:val="24"/>
              </w:rPr>
              <w:t xml:space="preserve"> - R</w:t>
            </w:r>
            <w:r>
              <w:rPr>
                <w:b/>
                <w:sz w:val="24"/>
                <w:vertAlign w:val="subscript"/>
              </w:rPr>
              <w:t>A</w:t>
            </w:r>
            <w:r>
              <w:rPr>
                <w:b/>
                <w:sz w:val="24"/>
              </w:rPr>
              <w:t>)</w:t>
            </w:r>
            <w:r>
              <w:rPr>
                <w:b/>
                <w:sz w:val="24"/>
                <w:vertAlign w:val="superscript"/>
              </w:rPr>
              <w:t xml:space="preserve">2 </w:t>
            </w:r>
            <w:r>
              <w:rPr>
                <w:b/>
                <w:sz w:val="24"/>
              </w:rPr>
              <w:t>/ (N-1) =</w:t>
            </w:r>
          </w:p>
        </w:tc>
        <w:tc>
          <w:tcPr>
            <w:tcW w:w="2324" w:type="dxa"/>
          </w:tcPr>
          <w:p w:rsidR="00E24F00" w:rsidRDefault="00E24F00" w:rsidP="00084AEE">
            <w:pPr>
              <w:jc w:val="center"/>
              <w:rPr>
                <w:sz w:val="24"/>
              </w:rPr>
            </w:pPr>
            <w:r>
              <w:rPr>
                <w:sz w:val="24"/>
              </w:rPr>
              <w:t>3,</w:t>
            </w:r>
            <w:r w:rsidR="00084AEE">
              <w:rPr>
                <w:sz w:val="24"/>
              </w:rPr>
              <w:t>436.77</w:t>
            </w:r>
            <w:r>
              <w:rPr>
                <w:sz w:val="24"/>
              </w:rPr>
              <w:t>/(5-1) =</w:t>
            </w:r>
          </w:p>
        </w:tc>
        <w:tc>
          <w:tcPr>
            <w:tcW w:w="1350" w:type="dxa"/>
          </w:tcPr>
          <w:p w:rsidR="00E24F00" w:rsidRDefault="00084AEE">
            <w:pPr>
              <w:jc w:val="center"/>
              <w:rPr>
                <w:sz w:val="24"/>
              </w:rPr>
            </w:pPr>
            <w:r>
              <w:rPr>
                <w:sz w:val="24"/>
              </w:rPr>
              <w:t>859.19</w:t>
            </w:r>
          </w:p>
        </w:tc>
        <w:tc>
          <w:tcPr>
            <w:tcW w:w="1546" w:type="dxa"/>
          </w:tcPr>
          <w:p w:rsidR="00E24F00" w:rsidRDefault="00E24F00">
            <w:pPr>
              <w:jc w:val="center"/>
              <w:rPr>
                <w:b/>
                <w:sz w:val="24"/>
              </w:rPr>
            </w:pPr>
            <w:r>
              <w:rPr>
                <w:b/>
                <w:sz w:val="24"/>
              </w:rPr>
              <w:t>Variance</w:t>
            </w:r>
          </w:p>
        </w:tc>
      </w:tr>
      <w:tr w:rsidR="00E24F00">
        <w:tblPrEx>
          <w:tblCellMar>
            <w:top w:w="0" w:type="dxa"/>
            <w:bottom w:w="0" w:type="dxa"/>
          </w:tblCellMar>
        </w:tblPrEx>
        <w:tc>
          <w:tcPr>
            <w:tcW w:w="1170" w:type="dxa"/>
          </w:tcPr>
          <w:p w:rsidR="00E24F00" w:rsidRDefault="00E24F00">
            <w:pPr>
              <w:jc w:val="center"/>
              <w:rPr>
                <w:sz w:val="24"/>
              </w:rPr>
            </w:pPr>
          </w:p>
        </w:tc>
        <w:tc>
          <w:tcPr>
            <w:tcW w:w="2790" w:type="dxa"/>
          </w:tcPr>
          <w:p w:rsidR="00E24F00" w:rsidRDefault="00E24F00">
            <w:pPr>
              <w:jc w:val="center"/>
              <w:rPr>
                <w:sz w:val="24"/>
              </w:rPr>
            </w:pPr>
          </w:p>
        </w:tc>
        <w:tc>
          <w:tcPr>
            <w:tcW w:w="2324" w:type="dxa"/>
          </w:tcPr>
          <w:p w:rsidR="00E24F00" w:rsidRDefault="00E24F00">
            <w:pPr>
              <w:jc w:val="center"/>
              <w:rPr>
                <w:b/>
                <w:sz w:val="24"/>
              </w:rPr>
            </w:pPr>
            <w:r>
              <w:rPr>
                <w:b/>
                <w:sz w:val="24"/>
              </w:rPr>
              <w:t>Square root =</w:t>
            </w:r>
          </w:p>
        </w:tc>
        <w:tc>
          <w:tcPr>
            <w:tcW w:w="1350" w:type="dxa"/>
          </w:tcPr>
          <w:p w:rsidR="00E24F00" w:rsidRDefault="00084AEE">
            <w:pPr>
              <w:jc w:val="center"/>
              <w:rPr>
                <w:sz w:val="24"/>
              </w:rPr>
            </w:pPr>
            <w:r>
              <w:rPr>
                <w:sz w:val="24"/>
              </w:rPr>
              <w:t>29.31</w:t>
            </w:r>
            <w:r w:rsidR="00E24F00">
              <w:rPr>
                <w:sz w:val="24"/>
              </w:rPr>
              <w:t>%</w:t>
            </w:r>
          </w:p>
        </w:tc>
        <w:tc>
          <w:tcPr>
            <w:tcW w:w="1546" w:type="dxa"/>
          </w:tcPr>
          <w:p w:rsidR="00E24F00" w:rsidRDefault="00E24F00">
            <w:pPr>
              <w:jc w:val="center"/>
              <w:rPr>
                <w:b/>
                <w:sz w:val="24"/>
              </w:rPr>
            </w:pPr>
            <w:r>
              <w:rPr>
                <w:b/>
                <w:sz w:val="24"/>
              </w:rPr>
              <w:t>Standard deviation</w:t>
            </w:r>
          </w:p>
        </w:tc>
      </w:tr>
    </w:tbl>
    <w:p w:rsidR="00E24F00" w:rsidRDefault="00E24F00">
      <w:pPr>
        <w:rPr>
          <w:sz w:val="24"/>
        </w:rPr>
      </w:pPr>
      <w:r>
        <w:rPr>
          <w:b/>
          <w:sz w:val="24"/>
        </w:rPr>
        <w:br/>
        <w:t>Lecture Tip:</w:t>
      </w:r>
      <w:r>
        <w:rPr>
          <w:sz w:val="24"/>
        </w:rPr>
        <w:t xml:space="preserve"> Note the difference between using N-1 and N as the divisor when calculating variance and standard deviation. You use N when you have the entire population, as opposed to N-1 when you have a sample of the population. </w:t>
      </w:r>
    </w:p>
    <w:p w:rsidR="00E24F00" w:rsidRDefault="00E24F00">
      <w:pPr>
        <w:rPr>
          <w:sz w:val="24"/>
        </w:rPr>
      </w:pPr>
    </w:p>
    <w:p w:rsidR="00E24F00" w:rsidRDefault="00E24F00">
      <w:pPr>
        <w:rPr>
          <w:sz w:val="24"/>
        </w:rPr>
      </w:pPr>
      <w:r>
        <w:rPr>
          <w:b/>
          <w:sz w:val="24"/>
        </w:rPr>
        <w:t>Lecture Tip:</w:t>
      </w:r>
      <w:r>
        <w:rPr>
          <w:sz w:val="24"/>
        </w:rPr>
        <w:t xml:space="preserve"> After calculating variance and standard deviation, ask what units are attached to each. The students will most likely have to puzzle on this. Of course, variance is percent squared, whereas standard deviation is percent. This provides a starting point for the discussion on how to interpret the resulting value for standard deviation. </w:t>
      </w:r>
    </w:p>
    <w:p w:rsidR="00E24F00" w:rsidRDefault="00E24F00">
      <w:pPr>
        <w:rPr>
          <w:sz w:val="24"/>
        </w:rPr>
      </w:pPr>
    </w:p>
    <w:p w:rsidR="00E24F00" w:rsidRDefault="00E24F00">
      <w:pPr>
        <w:rPr>
          <w:sz w:val="24"/>
        </w:rPr>
      </w:pPr>
      <w:r>
        <w:rPr>
          <w:b/>
          <w:sz w:val="24"/>
        </w:rPr>
        <w:t>Lecture Tip:</w:t>
      </w:r>
      <w:r>
        <w:rPr>
          <w:sz w:val="24"/>
        </w:rPr>
        <w:t xml:space="preserve"> You may want to point out that this example calculates variance and standard deviation using historical data. When expected futures values are used, there is another method that must employ probabilities. This method will be discussed in a later chapter.</w:t>
      </w:r>
    </w:p>
    <w:p w:rsidR="00E24F00" w:rsidRDefault="00E24F00">
      <w:pPr>
        <w:rPr>
          <w:b/>
          <w:sz w:val="24"/>
        </w:rPr>
      </w:pPr>
    </w:p>
    <w:p w:rsidR="00E24F00" w:rsidRDefault="00E24F00">
      <w:pPr>
        <w:numPr>
          <w:ilvl w:val="0"/>
          <w:numId w:val="27"/>
        </w:numPr>
        <w:rPr>
          <w:b/>
          <w:sz w:val="24"/>
        </w:rPr>
      </w:pPr>
      <w:r>
        <w:rPr>
          <w:b/>
          <w:sz w:val="24"/>
        </w:rPr>
        <w:t>The Historical Record</w:t>
      </w:r>
    </w:p>
    <w:p w:rsidR="00E24F00" w:rsidRDefault="00E24F00">
      <w:pPr>
        <w:rPr>
          <w:b/>
          <w:sz w:val="24"/>
        </w:rPr>
      </w:pPr>
    </w:p>
    <w:p w:rsidR="007155C6" w:rsidRDefault="00E24F00">
      <w:pPr>
        <w:rPr>
          <w:sz w:val="24"/>
        </w:rPr>
      </w:pPr>
      <w:r>
        <w:rPr>
          <w:sz w:val="24"/>
        </w:rPr>
        <w:t>The standard deviation for the large-company stock portfolio is more than six times the standard deviation for the T-bill portfolio. Also notice that the distribution is approximately normal. This allows us to use the fact that plus or minus one standard deviation from the mean return gives us the range of returns that would result 2/3 of the time. If we take plus or minus two standard deviations from the mean, there is a 95% probability that our investment will be within this range of returns.</w:t>
      </w:r>
    </w:p>
    <w:p w:rsidR="00E24F00" w:rsidRDefault="00E24F00" w:rsidP="00BD0C59">
      <w:pPr>
        <w:numPr>
          <w:ilvl w:val="0"/>
          <w:numId w:val="27"/>
        </w:numPr>
        <w:rPr>
          <w:b/>
          <w:sz w:val="24"/>
        </w:rPr>
      </w:pPr>
      <w:r>
        <w:rPr>
          <w:b/>
          <w:sz w:val="24"/>
        </w:rPr>
        <w:lastRenderedPageBreak/>
        <w:t>Normal Distribution</w:t>
      </w:r>
    </w:p>
    <w:p w:rsidR="00303E89" w:rsidRDefault="00303E89" w:rsidP="00303E89">
      <w:pPr>
        <w:autoSpaceDE w:val="0"/>
        <w:autoSpaceDN w:val="0"/>
        <w:adjustRightInd w:val="0"/>
        <w:rPr>
          <w:sz w:val="24"/>
        </w:rPr>
      </w:pPr>
    </w:p>
    <w:p w:rsidR="005216AC" w:rsidRDefault="005216AC" w:rsidP="00303E89">
      <w:pPr>
        <w:autoSpaceDE w:val="0"/>
        <w:autoSpaceDN w:val="0"/>
        <w:adjustRightInd w:val="0"/>
        <w:rPr>
          <w:sz w:val="24"/>
        </w:rPr>
      </w:pPr>
      <w:r>
        <w:rPr>
          <w:sz w:val="24"/>
        </w:rPr>
        <w:t>Like most statistical concepts, students will struggle remembering the concept of a normal distribution. In our experience, this is mostly because they are unsure of their understanding—not that they have not “seen” the material before.</w:t>
      </w:r>
    </w:p>
    <w:p w:rsidR="005216AC" w:rsidRDefault="005216AC" w:rsidP="005216AC">
      <w:pPr>
        <w:autoSpaceDE w:val="0"/>
        <w:autoSpaceDN w:val="0"/>
        <w:adjustRightInd w:val="0"/>
        <w:ind w:firstLine="720"/>
        <w:rPr>
          <w:sz w:val="24"/>
        </w:rPr>
      </w:pPr>
    </w:p>
    <w:p w:rsidR="005216AC" w:rsidRDefault="005216AC" w:rsidP="00303E89">
      <w:pPr>
        <w:autoSpaceDE w:val="0"/>
        <w:autoSpaceDN w:val="0"/>
        <w:adjustRightInd w:val="0"/>
        <w:rPr>
          <w:sz w:val="24"/>
        </w:rPr>
      </w:pPr>
      <w:r w:rsidRPr="005216AC">
        <w:rPr>
          <w:sz w:val="24"/>
        </w:rPr>
        <w:t>For many different random events in nature, a particular frequency distribution, the</w:t>
      </w:r>
      <w:r>
        <w:rPr>
          <w:sz w:val="24"/>
        </w:rPr>
        <w:t xml:space="preserve"> </w:t>
      </w:r>
      <w:r w:rsidRPr="005216AC">
        <w:rPr>
          <w:sz w:val="24"/>
        </w:rPr>
        <w:t>normal distribution (or bell curve) is useful for describing the probability of ending up in</w:t>
      </w:r>
      <w:r>
        <w:rPr>
          <w:sz w:val="24"/>
        </w:rPr>
        <w:t xml:space="preserve"> </w:t>
      </w:r>
      <w:r w:rsidRPr="005216AC">
        <w:rPr>
          <w:sz w:val="24"/>
        </w:rPr>
        <w:t>a given range. For example, the idea behind “grading on a curve” comes from the fact that</w:t>
      </w:r>
      <w:r>
        <w:rPr>
          <w:sz w:val="24"/>
        </w:rPr>
        <w:t xml:space="preserve"> </w:t>
      </w:r>
      <w:r w:rsidRPr="005216AC">
        <w:rPr>
          <w:sz w:val="24"/>
        </w:rPr>
        <w:t>exam scores often resemble a bell curve.</w:t>
      </w:r>
    </w:p>
    <w:p w:rsidR="005216AC" w:rsidRPr="005216AC" w:rsidRDefault="005216AC" w:rsidP="005216AC">
      <w:pPr>
        <w:autoSpaceDE w:val="0"/>
        <w:autoSpaceDN w:val="0"/>
        <w:adjustRightInd w:val="0"/>
        <w:ind w:firstLine="720"/>
        <w:rPr>
          <w:sz w:val="24"/>
        </w:rPr>
      </w:pPr>
    </w:p>
    <w:p w:rsidR="005216AC" w:rsidRDefault="00303E89" w:rsidP="005216AC">
      <w:pPr>
        <w:autoSpaceDE w:val="0"/>
        <w:autoSpaceDN w:val="0"/>
        <w:adjustRightInd w:val="0"/>
        <w:rPr>
          <w:sz w:val="24"/>
        </w:rPr>
      </w:pPr>
      <w:r>
        <w:rPr>
          <w:sz w:val="24"/>
        </w:rPr>
        <w:t>Figure 1.10</w:t>
      </w:r>
      <w:r w:rsidR="005216AC" w:rsidRPr="005216AC">
        <w:rPr>
          <w:sz w:val="24"/>
        </w:rPr>
        <w:t xml:space="preserve"> illustrates a normal distribution and its distinctive bell shape. As you can see,</w:t>
      </w:r>
      <w:r w:rsidR="005216AC">
        <w:rPr>
          <w:sz w:val="24"/>
        </w:rPr>
        <w:t xml:space="preserve"> </w:t>
      </w:r>
      <w:r w:rsidR="005216AC" w:rsidRPr="005216AC">
        <w:rPr>
          <w:sz w:val="24"/>
        </w:rPr>
        <w:t>this distribution has a much cleaner appearance than the actual return distributions illustrated</w:t>
      </w:r>
      <w:r w:rsidR="005216AC">
        <w:rPr>
          <w:sz w:val="24"/>
        </w:rPr>
        <w:t xml:space="preserve"> </w:t>
      </w:r>
      <w:r w:rsidR="005216AC" w:rsidRPr="005216AC">
        <w:rPr>
          <w:sz w:val="24"/>
        </w:rPr>
        <w:t>in Figure 1.</w:t>
      </w:r>
      <w:r>
        <w:rPr>
          <w:sz w:val="24"/>
        </w:rPr>
        <w:t>8</w:t>
      </w:r>
      <w:r w:rsidR="005216AC" w:rsidRPr="005216AC">
        <w:rPr>
          <w:sz w:val="24"/>
        </w:rPr>
        <w:t>. Even so, like the normal distribution, the actual distributions do appear</w:t>
      </w:r>
      <w:r w:rsidR="005216AC">
        <w:rPr>
          <w:sz w:val="24"/>
        </w:rPr>
        <w:t xml:space="preserve"> </w:t>
      </w:r>
      <w:r w:rsidR="005216AC" w:rsidRPr="005216AC">
        <w:rPr>
          <w:sz w:val="24"/>
        </w:rPr>
        <w:t>to be at least roughly mound shaped and symmetric. When this is true, the normal distribution</w:t>
      </w:r>
      <w:r w:rsidR="005216AC">
        <w:rPr>
          <w:sz w:val="24"/>
        </w:rPr>
        <w:t xml:space="preserve"> </w:t>
      </w:r>
      <w:r w:rsidR="005216AC" w:rsidRPr="005216AC">
        <w:rPr>
          <w:sz w:val="24"/>
        </w:rPr>
        <w:t>is often a very good approximation.</w:t>
      </w:r>
    </w:p>
    <w:p w:rsidR="005216AC" w:rsidRPr="005216AC" w:rsidRDefault="005216AC" w:rsidP="005216AC">
      <w:pPr>
        <w:autoSpaceDE w:val="0"/>
        <w:autoSpaceDN w:val="0"/>
        <w:adjustRightInd w:val="0"/>
        <w:rPr>
          <w:sz w:val="24"/>
        </w:rPr>
      </w:pPr>
    </w:p>
    <w:p w:rsidR="005216AC" w:rsidRDefault="005216AC" w:rsidP="00303E89">
      <w:pPr>
        <w:autoSpaceDE w:val="0"/>
        <w:autoSpaceDN w:val="0"/>
        <w:adjustRightInd w:val="0"/>
        <w:rPr>
          <w:sz w:val="24"/>
        </w:rPr>
      </w:pPr>
      <w:r w:rsidRPr="005216AC">
        <w:rPr>
          <w:sz w:val="24"/>
        </w:rPr>
        <w:t xml:space="preserve">Also, </w:t>
      </w:r>
      <w:r>
        <w:rPr>
          <w:sz w:val="24"/>
        </w:rPr>
        <w:t xml:space="preserve">you will have to remind students that </w:t>
      </w:r>
      <w:r w:rsidRPr="005216AC">
        <w:rPr>
          <w:sz w:val="24"/>
        </w:rPr>
        <w:t>the distributions in</w:t>
      </w:r>
      <w:r w:rsidR="004F6D67">
        <w:rPr>
          <w:sz w:val="24"/>
        </w:rPr>
        <w:t xml:space="preserve"> Figure 1.9 are based on only 90</w:t>
      </w:r>
      <w:r w:rsidRPr="005216AC">
        <w:rPr>
          <w:sz w:val="24"/>
        </w:rPr>
        <w:t xml:space="preserve"> yearly observations,</w:t>
      </w:r>
      <w:r>
        <w:rPr>
          <w:sz w:val="24"/>
        </w:rPr>
        <w:t xml:space="preserve"> </w:t>
      </w:r>
      <w:r w:rsidR="00303E89">
        <w:rPr>
          <w:sz w:val="24"/>
        </w:rPr>
        <w:t>while Figure 1.10</w:t>
      </w:r>
      <w:r w:rsidRPr="005216AC">
        <w:rPr>
          <w:sz w:val="24"/>
        </w:rPr>
        <w:t xml:space="preserve"> is, in principle, based on an infinite number. So, if we had been</w:t>
      </w:r>
      <w:r>
        <w:rPr>
          <w:sz w:val="24"/>
        </w:rPr>
        <w:t xml:space="preserve"> </w:t>
      </w:r>
      <w:r w:rsidRPr="005216AC">
        <w:rPr>
          <w:sz w:val="24"/>
        </w:rPr>
        <w:t>able to observe returns for, say, 1,000 years, we might have filled in a lot of the irregularities</w:t>
      </w:r>
      <w:r>
        <w:rPr>
          <w:sz w:val="24"/>
        </w:rPr>
        <w:t xml:space="preserve"> </w:t>
      </w:r>
      <w:r w:rsidRPr="005216AC">
        <w:rPr>
          <w:sz w:val="24"/>
        </w:rPr>
        <w:t>and ended up with a much smoother picture. For our purposes, it is enough to observe</w:t>
      </w:r>
      <w:r>
        <w:rPr>
          <w:sz w:val="24"/>
        </w:rPr>
        <w:t xml:space="preserve"> </w:t>
      </w:r>
      <w:r w:rsidRPr="005216AC">
        <w:rPr>
          <w:sz w:val="24"/>
        </w:rPr>
        <w:t>that the returns are at least roughly normally distributed.</w:t>
      </w:r>
      <w:r>
        <w:rPr>
          <w:sz w:val="24"/>
        </w:rPr>
        <w:t xml:space="preserve"> </w:t>
      </w:r>
    </w:p>
    <w:p w:rsidR="005216AC" w:rsidRDefault="005216AC" w:rsidP="005216AC">
      <w:pPr>
        <w:autoSpaceDE w:val="0"/>
        <w:autoSpaceDN w:val="0"/>
        <w:adjustRightInd w:val="0"/>
        <w:ind w:firstLine="720"/>
        <w:rPr>
          <w:sz w:val="24"/>
        </w:rPr>
      </w:pPr>
    </w:p>
    <w:p w:rsidR="005216AC" w:rsidRDefault="005216AC" w:rsidP="00303E89">
      <w:pPr>
        <w:autoSpaceDE w:val="0"/>
        <w:autoSpaceDN w:val="0"/>
        <w:adjustRightInd w:val="0"/>
        <w:rPr>
          <w:sz w:val="24"/>
        </w:rPr>
      </w:pPr>
      <w:r w:rsidRPr="005216AC">
        <w:rPr>
          <w:sz w:val="24"/>
        </w:rPr>
        <w:t>The usefulness of the normal distribution stems from the fact that it is completely described</w:t>
      </w:r>
      <w:r>
        <w:rPr>
          <w:sz w:val="24"/>
        </w:rPr>
        <w:t xml:space="preserve"> </w:t>
      </w:r>
      <w:r w:rsidRPr="005216AC">
        <w:rPr>
          <w:sz w:val="24"/>
        </w:rPr>
        <w:t>by the average and the standard deviation. If you have these two numbers, then</w:t>
      </w:r>
      <w:r>
        <w:rPr>
          <w:sz w:val="24"/>
        </w:rPr>
        <w:t xml:space="preserve"> </w:t>
      </w:r>
      <w:r w:rsidRPr="005216AC">
        <w:rPr>
          <w:sz w:val="24"/>
        </w:rPr>
        <w:t>there is nothing else to know. For example, with a normal distribution, the probability that</w:t>
      </w:r>
      <w:r>
        <w:rPr>
          <w:sz w:val="24"/>
        </w:rPr>
        <w:t xml:space="preserve"> </w:t>
      </w:r>
      <w:r w:rsidRPr="005216AC">
        <w:rPr>
          <w:sz w:val="24"/>
        </w:rPr>
        <w:t>we end up within one standard deviation of the average is about 2/3. The probability</w:t>
      </w:r>
      <w:r>
        <w:rPr>
          <w:sz w:val="24"/>
        </w:rPr>
        <w:t xml:space="preserve"> </w:t>
      </w:r>
      <w:r w:rsidRPr="005216AC">
        <w:rPr>
          <w:sz w:val="24"/>
        </w:rPr>
        <w:t>that we end up within two standard deviations is about 95 percent. Finally, the probability</w:t>
      </w:r>
      <w:r>
        <w:rPr>
          <w:sz w:val="24"/>
        </w:rPr>
        <w:t xml:space="preserve"> </w:t>
      </w:r>
      <w:r w:rsidRPr="005216AC">
        <w:rPr>
          <w:sz w:val="24"/>
        </w:rPr>
        <w:t>of being more than three standard deviations away from the average is less than 1 percent.</w:t>
      </w:r>
      <w:r>
        <w:rPr>
          <w:sz w:val="24"/>
        </w:rPr>
        <w:t xml:space="preserve"> </w:t>
      </w:r>
    </w:p>
    <w:p w:rsidR="00E24F00" w:rsidRDefault="00E24F00">
      <w:pPr>
        <w:rPr>
          <w:b/>
          <w:sz w:val="24"/>
        </w:rPr>
      </w:pPr>
    </w:p>
    <w:p w:rsidR="00E24F00" w:rsidRDefault="00E24F00">
      <w:pPr>
        <w:numPr>
          <w:ilvl w:val="0"/>
          <w:numId w:val="27"/>
        </w:numPr>
        <w:rPr>
          <w:b/>
          <w:sz w:val="24"/>
        </w:rPr>
      </w:pPr>
      <w:r>
        <w:rPr>
          <w:b/>
          <w:sz w:val="24"/>
        </w:rPr>
        <w:t>The Second Lesson</w:t>
      </w:r>
    </w:p>
    <w:p w:rsidR="00E24F00" w:rsidRDefault="00E24F00">
      <w:pPr>
        <w:rPr>
          <w:sz w:val="24"/>
        </w:rPr>
      </w:pPr>
    </w:p>
    <w:p w:rsidR="00E24F00" w:rsidRDefault="00E24F00">
      <w:pPr>
        <w:rPr>
          <w:sz w:val="24"/>
        </w:rPr>
      </w:pPr>
      <w:r>
        <w:rPr>
          <w:sz w:val="24"/>
        </w:rPr>
        <w:t>Observing that there is variability in returns from year-to-year, we see that there is a significant chance of a large change in value in the returns. So the second lesson is: The greater the potential reward, the greater the risk.</w:t>
      </w:r>
    </w:p>
    <w:p w:rsidR="00E24F00" w:rsidRDefault="00E24F00">
      <w:pPr>
        <w:rPr>
          <w:b/>
          <w:sz w:val="24"/>
        </w:rPr>
      </w:pPr>
    </w:p>
    <w:p w:rsidR="00E24F00" w:rsidRDefault="00E24F00">
      <w:pPr>
        <w:rPr>
          <w:b/>
          <w:sz w:val="24"/>
        </w:rPr>
      </w:pPr>
    </w:p>
    <w:p w:rsidR="00E24F00" w:rsidRDefault="00E24F00">
      <w:pPr>
        <w:numPr>
          <w:ilvl w:val="1"/>
          <w:numId w:val="17"/>
        </w:numPr>
        <w:rPr>
          <w:b/>
          <w:sz w:val="24"/>
        </w:rPr>
      </w:pPr>
      <w:r>
        <w:rPr>
          <w:b/>
          <w:sz w:val="24"/>
        </w:rPr>
        <w:t>More on Average Returns</w:t>
      </w:r>
    </w:p>
    <w:p w:rsidR="00E24F00" w:rsidRDefault="00E24F00">
      <w:pPr>
        <w:rPr>
          <w:b/>
          <w:sz w:val="24"/>
        </w:rPr>
      </w:pPr>
    </w:p>
    <w:p w:rsidR="00E24F00" w:rsidRDefault="00E24F00">
      <w:pPr>
        <w:numPr>
          <w:ilvl w:val="1"/>
          <w:numId w:val="31"/>
        </w:numPr>
        <w:rPr>
          <w:b/>
          <w:sz w:val="24"/>
        </w:rPr>
      </w:pPr>
      <w:r>
        <w:rPr>
          <w:b/>
          <w:sz w:val="24"/>
        </w:rPr>
        <w:t>Arithmetic versus Geometric Averages</w:t>
      </w:r>
    </w:p>
    <w:p w:rsidR="00E24F00" w:rsidRDefault="00E24F00">
      <w:pPr>
        <w:rPr>
          <w:b/>
          <w:sz w:val="24"/>
        </w:rPr>
      </w:pPr>
    </w:p>
    <w:p w:rsidR="00E24F00" w:rsidRDefault="00E24F00">
      <w:pPr>
        <w:pStyle w:val="BodyText"/>
      </w:pPr>
      <w:r>
        <w:t>The geometric average return answers the question: “What was your average compound return per year over a particular period?”</w:t>
      </w:r>
    </w:p>
    <w:p w:rsidR="00E24F00" w:rsidRDefault="00E24F00">
      <w:pPr>
        <w:rPr>
          <w:bCs/>
          <w:sz w:val="24"/>
        </w:rPr>
      </w:pPr>
    </w:p>
    <w:p w:rsidR="00E24F00" w:rsidRDefault="00E24F00">
      <w:pPr>
        <w:rPr>
          <w:bCs/>
          <w:sz w:val="24"/>
        </w:rPr>
      </w:pPr>
      <w:r>
        <w:rPr>
          <w:bCs/>
          <w:sz w:val="24"/>
        </w:rPr>
        <w:t>The arithmetic average return answers the question: “What was your return in an average year over a particular period?”</w:t>
      </w:r>
    </w:p>
    <w:p w:rsidR="00E24F00" w:rsidRDefault="00E24F00">
      <w:pPr>
        <w:rPr>
          <w:b/>
          <w:sz w:val="24"/>
        </w:rPr>
      </w:pPr>
    </w:p>
    <w:p w:rsidR="00E24F00" w:rsidRDefault="00E24F00">
      <w:pPr>
        <w:numPr>
          <w:ilvl w:val="1"/>
          <w:numId w:val="31"/>
        </w:numPr>
        <w:rPr>
          <w:b/>
          <w:sz w:val="24"/>
        </w:rPr>
      </w:pPr>
      <w:r>
        <w:rPr>
          <w:b/>
          <w:sz w:val="24"/>
        </w:rPr>
        <w:t>Calculating Geometric Average Returns</w:t>
      </w:r>
      <w:r>
        <w:rPr>
          <w:b/>
          <w:sz w:val="24"/>
        </w:rPr>
        <w:br/>
      </w:r>
    </w:p>
    <w:p w:rsidR="00E24F00" w:rsidRDefault="00E24F00">
      <w:pPr>
        <w:pStyle w:val="Heading4"/>
      </w:pPr>
      <w:r>
        <w:t>Let us use data from the example above to calculate an arithmetic average and a geometric average:</w:t>
      </w:r>
    </w:p>
    <w:tbl>
      <w:tblPr>
        <w:tblpPr w:leftFromText="180" w:rightFromText="180" w:vertAnchor="text" w:horzAnchor="margin" w:tblpXSpec="center" w:tblpY="311"/>
        <w:tblW w:w="8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907"/>
        <w:gridCol w:w="267"/>
        <w:gridCol w:w="1934"/>
        <w:gridCol w:w="2298"/>
      </w:tblGrid>
      <w:tr w:rsidR="00DF1835" w:rsidTr="00084AEE">
        <w:tblPrEx>
          <w:tblCellMar>
            <w:top w:w="0" w:type="dxa"/>
            <w:bottom w:w="0" w:type="dxa"/>
          </w:tblCellMar>
        </w:tblPrEx>
        <w:trPr>
          <w:trHeight w:val="252"/>
        </w:trPr>
        <w:tc>
          <w:tcPr>
            <w:tcW w:w="1940" w:type="dxa"/>
          </w:tcPr>
          <w:p w:rsidR="00DF1835" w:rsidRDefault="00DF1835" w:rsidP="00DF1835">
            <w:pPr>
              <w:jc w:val="center"/>
              <w:rPr>
                <w:b/>
                <w:sz w:val="24"/>
                <w:vertAlign w:val="subscript"/>
              </w:rPr>
            </w:pPr>
          </w:p>
        </w:tc>
        <w:tc>
          <w:tcPr>
            <w:tcW w:w="1907" w:type="dxa"/>
          </w:tcPr>
          <w:p w:rsidR="00DF1835" w:rsidRDefault="00DF1835" w:rsidP="00DF1835">
            <w:pPr>
              <w:jc w:val="center"/>
              <w:rPr>
                <w:b/>
                <w:sz w:val="24"/>
                <w:vertAlign w:val="subscript"/>
              </w:rPr>
            </w:pPr>
            <w:r>
              <w:rPr>
                <w:b/>
                <w:sz w:val="24"/>
              </w:rPr>
              <w:t>R</w:t>
            </w:r>
            <w:r>
              <w:rPr>
                <w:b/>
                <w:sz w:val="24"/>
                <w:vertAlign w:val="subscript"/>
              </w:rPr>
              <w:t>N</w:t>
            </w:r>
          </w:p>
        </w:tc>
        <w:tc>
          <w:tcPr>
            <w:tcW w:w="267" w:type="dxa"/>
          </w:tcPr>
          <w:p w:rsidR="00DF1835" w:rsidRDefault="00DF1835" w:rsidP="00DF1835">
            <w:pPr>
              <w:jc w:val="center"/>
              <w:rPr>
                <w:b/>
                <w:sz w:val="24"/>
              </w:rPr>
            </w:pPr>
          </w:p>
        </w:tc>
        <w:tc>
          <w:tcPr>
            <w:tcW w:w="1934" w:type="dxa"/>
          </w:tcPr>
          <w:p w:rsidR="00DF1835" w:rsidRDefault="00DF1835" w:rsidP="00DF1835">
            <w:pPr>
              <w:jc w:val="center"/>
              <w:rPr>
                <w:b/>
                <w:sz w:val="24"/>
              </w:rPr>
            </w:pPr>
            <w:r>
              <w:rPr>
                <w:b/>
                <w:sz w:val="24"/>
              </w:rPr>
              <w:t>1+R</w:t>
            </w:r>
            <w:r>
              <w:rPr>
                <w:b/>
                <w:sz w:val="24"/>
                <w:vertAlign w:val="subscript"/>
              </w:rPr>
              <w:t>N</w:t>
            </w:r>
          </w:p>
        </w:tc>
        <w:tc>
          <w:tcPr>
            <w:tcW w:w="2298" w:type="dxa"/>
          </w:tcPr>
          <w:p w:rsidR="00DF1835" w:rsidRDefault="00DF1835" w:rsidP="00DF1835">
            <w:pPr>
              <w:jc w:val="center"/>
              <w:rPr>
                <w:sz w:val="24"/>
              </w:rPr>
            </w:pPr>
            <w:r>
              <w:rPr>
                <w:b/>
                <w:sz w:val="24"/>
              </w:rPr>
              <w:t>1+R</w:t>
            </w:r>
            <w:r>
              <w:rPr>
                <w:b/>
                <w:sz w:val="24"/>
                <w:vertAlign w:val="subscript"/>
              </w:rPr>
              <w:t>N,1</w:t>
            </w:r>
            <w:r>
              <w:rPr>
                <w:b/>
                <w:sz w:val="24"/>
              </w:rPr>
              <w:t xml:space="preserve"> x 1+R</w:t>
            </w:r>
            <w:r>
              <w:rPr>
                <w:b/>
                <w:sz w:val="24"/>
                <w:vertAlign w:val="subscript"/>
              </w:rPr>
              <w:t>N,2</w:t>
            </w:r>
            <w:r>
              <w:rPr>
                <w:b/>
                <w:sz w:val="24"/>
              </w:rPr>
              <w:t xml:space="preserve"> x …</w:t>
            </w:r>
          </w:p>
        </w:tc>
      </w:tr>
      <w:tr w:rsidR="00084AEE" w:rsidTr="00084AEE">
        <w:tblPrEx>
          <w:tblCellMar>
            <w:top w:w="0" w:type="dxa"/>
            <w:bottom w:w="0" w:type="dxa"/>
          </w:tblCellMar>
        </w:tblPrEx>
        <w:trPr>
          <w:trHeight w:val="252"/>
        </w:trPr>
        <w:tc>
          <w:tcPr>
            <w:tcW w:w="1940" w:type="dxa"/>
          </w:tcPr>
          <w:p w:rsidR="00084AEE" w:rsidRDefault="00084AEE" w:rsidP="00DF1835">
            <w:pPr>
              <w:jc w:val="center"/>
              <w:rPr>
                <w:sz w:val="24"/>
              </w:rPr>
            </w:pPr>
          </w:p>
        </w:tc>
        <w:tc>
          <w:tcPr>
            <w:tcW w:w="1907" w:type="dxa"/>
          </w:tcPr>
          <w:p w:rsidR="00084AEE" w:rsidRDefault="00084AEE" w:rsidP="009C63CC">
            <w:pPr>
              <w:jc w:val="center"/>
              <w:rPr>
                <w:sz w:val="24"/>
              </w:rPr>
            </w:pPr>
            <w:r>
              <w:rPr>
                <w:sz w:val="24"/>
              </w:rPr>
              <w:t>11.14%</w:t>
            </w:r>
          </w:p>
        </w:tc>
        <w:tc>
          <w:tcPr>
            <w:tcW w:w="267" w:type="dxa"/>
          </w:tcPr>
          <w:p w:rsidR="00084AEE" w:rsidRDefault="00084AEE" w:rsidP="00DF1835">
            <w:pPr>
              <w:jc w:val="center"/>
              <w:rPr>
                <w:sz w:val="24"/>
              </w:rPr>
            </w:pPr>
          </w:p>
        </w:tc>
        <w:tc>
          <w:tcPr>
            <w:tcW w:w="1934" w:type="dxa"/>
          </w:tcPr>
          <w:p w:rsidR="00084AEE" w:rsidRDefault="00084AEE" w:rsidP="00084AEE">
            <w:pPr>
              <w:jc w:val="center"/>
              <w:rPr>
                <w:sz w:val="24"/>
              </w:rPr>
            </w:pPr>
            <w:r>
              <w:rPr>
                <w:sz w:val="24"/>
              </w:rPr>
              <w:t>1.1114</w:t>
            </w:r>
          </w:p>
        </w:tc>
        <w:tc>
          <w:tcPr>
            <w:tcW w:w="2298" w:type="dxa"/>
          </w:tcPr>
          <w:p w:rsidR="00084AEE" w:rsidRDefault="00084AEE" w:rsidP="00084AEE">
            <w:pPr>
              <w:jc w:val="center"/>
              <w:rPr>
                <w:sz w:val="24"/>
              </w:rPr>
            </w:pPr>
            <w:r>
              <w:rPr>
                <w:sz w:val="24"/>
              </w:rPr>
              <w:t>1.1114</w:t>
            </w:r>
          </w:p>
        </w:tc>
      </w:tr>
      <w:tr w:rsidR="00084AEE" w:rsidTr="00084AEE">
        <w:tblPrEx>
          <w:tblCellMar>
            <w:top w:w="0" w:type="dxa"/>
            <w:bottom w:w="0" w:type="dxa"/>
          </w:tblCellMar>
        </w:tblPrEx>
        <w:trPr>
          <w:trHeight w:val="252"/>
        </w:trPr>
        <w:tc>
          <w:tcPr>
            <w:tcW w:w="1940" w:type="dxa"/>
            <w:vAlign w:val="center"/>
          </w:tcPr>
          <w:p w:rsidR="00084AEE" w:rsidRDefault="00084AEE" w:rsidP="00DF1835">
            <w:pPr>
              <w:jc w:val="center"/>
              <w:rPr>
                <w:sz w:val="24"/>
              </w:rPr>
            </w:pPr>
          </w:p>
        </w:tc>
        <w:tc>
          <w:tcPr>
            <w:tcW w:w="1907" w:type="dxa"/>
            <w:vAlign w:val="center"/>
          </w:tcPr>
          <w:p w:rsidR="00084AEE" w:rsidRDefault="00084AEE" w:rsidP="009C63CC">
            <w:pPr>
              <w:jc w:val="center"/>
              <w:rPr>
                <w:sz w:val="24"/>
              </w:rPr>
            </w:pPr>
            <w:r>
              <w:rPr>
                <w:sz w:val="24"/>
              </w:rPr>
              <w:t>37.13%</w:t>
            </w:r>
          </w:p>
        </w:tc>
        <w:tc>
          <w:tcPr>
            <w:tcW w:w="267" w:type="dxa"/>
          </w:tcPr>
          <w:p w:rsidR="00084AEE" w:rsidRDefault="00084AEE" w:rsidP="00DF1835">
            <w:pPr>
              <w:jc w:val="center"/>
              <w:rPr>
                <w:sz w:val="24"/>
              </w:rPr>
            </w:pPr>
          </w:p>
        </w:tc>
        <w:tc>
          <w:tcPr>
            <w:tcW w:w="1934" w:type="dxa"/>
          </w:tcPr>
          <w:p w:rsidR="00084AEE" w:rsidRDefault="00084AEE" w:rsidP="00084AEE">
            <w:pPr>
              <w:jc w:val="center"/>
              <w:rPr>
                <w:sz w:val="24"/>
              </w:rPr>
            </w:pPr>
            <w:r>
              <w:rPr>
                <w:sz w:val="24"/>
              </w:rPr>
              <w:t>1.3713</w:t>
            </w:r>
          </w:p>
        </w:tc>
        <w:tc>
          <w:tcPr>
            <w:tcW w:w="2298" w:type="dxa"/>
          </w:tcPr>
          <w:p w:rsidR="00084AEE" w:rsidRDefault="00084AEE" w:rsidP="00084AEE">
            <w:pPr>
              <w:jc w:val="center"/>
              <w:rPr>
                <w:sz w:val="24"/>
              </w:rPr>
            </w:pPr>
            <w:r>
              <w:rPr>
                <w:sz w:val="24"/>
              </w:rPr>
              <w:t>1.5241</w:t>
            </w:r>
          </w:p>
        </w:tc>
      </w:tr>
      <w:tr w:rsidR="00084AEE" w:rsidTr="00084AEE">
        <w:tblPrEx>
          <w:tblCellMar>
            <w:top w:w="0" w:type="dxa"/>
            <w:bottom w:w="0" w:type="dxa"/>
          </w:tblCellMar>
        </w:tblPrEx>
        <w:trPr>
          <w:trHeight w:val="270"/>
        </w:trPr>
        <w:tc>
          <w:tcPr>
            <w:tcW w:w="1940" w:type="dxa"/>
          </w:tcPr>
          <w:p w:rsidR="00084AEE" w:rsidRDefault="00084AEE" w:rsidP="00DF1835">
            <w:pPr>
              <w:jc w:val="center"/>
              <w:rPr>
                <w:sz w:val="24"/>
              </w:rPr>
            </w:pPr>
          </w:p>
        </w:tc>
        <w:tc>
          <w:tcPr>
            <w:tcW w:w="1907" w:type="dxa"/>
          </w:tcPr>
          <w:p w:rsidR="00084AEE" w:rsidRDefault="00084AEE" w:rsidP="009C63CC">
            <w:pPr>
              <w:jc w:val="center"/>
              <w:rPr>
                <w:sz w:val="24"/>
              </w:rPr>
            </w:pPr>
            <w:r>
              <w:rPr>
                <w:sz w:val="24"/>
              </w:rPr>
              <w:t>43.31%</w:t>
            </w:r>
          </w:p>
        </w:tc>
        <w:tc>
          <w:tcPr>
            <w:tcW w:w="267" w:type="dxa"/>
          </w:tcPr>
          <w:p w:rsidR="00084AEE" w:rsidRDefault="00084AEE" w:rsidP="00DF1835">
            <w:pPr>
              <w:jc w:val="center"/>
              <w:rPr>
                <w:sz w:val="24"/>
              </w:rPr>
            </w:pPr>
          </w:p>
        </w:tc>
        <w:tc>
          <w:tcPr>
            <w:tcW w:w="1934" w:type="dxa"/>
          </w:tcPr>
          <w:p w:rsidR="00084AEE" w:rsidRDefault="00084AEE" w:rsidP="00DF1835">
            <w:pPr>
              <w:jc w:val="center"/>
              <w:rPr>
                <w:sz w:val="24"/>
              </w:rPr>
            </w:pPr>
            <w:r>
              <w:rPr>
                <w:sz w:val="24"/>
              </w:rPr>
              <w:t>1.4331</w:t>
            </w:r>
          </w:p>
        </w:tc>
        <w:tc>
          <w:tcPr>
            <w:tcW w:w="2298" w:type="dxa"/>
          </w:tcPr>
          <w:p w:rsidR="00084AEE" w:rsidRDefault="00084AEE" w:rsidP="00DF1835">
            <w:pPr>
              <w:jc w:val="center"/>
              <w:rPr>
                <w:sz w:val="24"/>
              </w:rPr>
            </w:pPr>
            <w:r>
              <w:rPr>
                <w:sz w:val="24"/>
              </w:rPr>
              <w:t>2.1841</w:t>
            </w:r>
          </w:p>
        </w:tc>
      </w:tr>
      <w:tr w:rsidR="00084AEE" w:rsidTr="00084AEE">
        <w:tblPrEx>
          <w:tblCellMar>
            <w:top w:w="0" w:type="dxa"/>
            <w:bottom w:w="0" w:type="dxa"/>
          </w:tblCellMar>
        </w:tblPrEx>
        <w:trPr>
          <w:trHeight w:val="252"/>
        </w:trPr>
        <w:tc>
          <w:tcPr>
            <w:tcW w:w="1940" w:type="dxa"/>
          </w:tcPr>
          <w:p w:rsidR="00084AEE" w:rsidRDefault="00084AEE" w:rsidP="00DF1835">
            <w:pPr>
              <w:jc w:val="center"/>
              <w:rPr>
                <w:sz w:val="24"/>
              </w:rPr>
            </w:pPr>
          </w:p>
        </w:tc>
        <w:tc>
          <w:tcPr>
            <w:tcW w:w="1907" w:type="dxa"/>
          </w:tcPr>
          <w:p w:rsidR="00084AEE" w:rsidRDefault="00084AEE" w:rsidP="009C63CC">
            <w:pPr>
              <w:jc w:val="center"/>
              <w:rPr>
                <w:sz w:val="24"/>
              </w:rPr>
            </w:pPr>
            <w:r>
              <w:rPr>
                <w:sz w:val="24"/>
              </w:rPr>
              <w:t>-8.91%</w:t>
            </w:r>
          </w:p>
        </w:tc>
        <w:tc>
          <w:tcPr>
            <w:tcW w:w="267" w:type="dxa"/>
          </w:tcPr>
          <w:p w:rsidR="00084AEE" w:rsidRDefault="00084AEE" w:rsidP="00DF1835">
            <w:pPr>
              <w:jc w:val="center"/>
              <w:rPr>
                <w:sz w:val="24"/>
              </w:rPr>
            </w:pPr>
          </w:p>
        </w:tc>
        <w:tc>
          <w:tcPr>
            <w:tcW w:w="1934" w:type="dxa"/>
          </w:tcPr>
          <w:p w:rsidR="00084AEE" w:rsidRDefault="00084AEE" w:rsidP="00DF1835">
            <w:pPr>
              <w:jc w:val="center"/>
              <w:rPr>
                <w:sz w:val="24"/>
              </w:rPr>
            </w:pPr>
            <w:r>
              <w:rPr>
                <w:sz w:val="24"/>
              </w:rPr>
              <w:t>.9109</w:t>
            </w:r>
          </w:p>
        </w:tc>
        <w:tc>
          <w:tcPr>
            <w:tcW w:w="2298" w:type="dxa"/>
          </w:tcPr>
          <w:p w:rsidR="00084AEE" w:rsidRDefault="00084AEE" w:rsidP="00DF1835">
            <w:pPr>
              <w:jc w:val="center"/>
              <w:rPr>
                <w:sz w:val="24"/>
              </w:rPr>
            </w:pPr>
            <w:r>
              <w:rPr>
                <w:sz w:val="24"/>
              </w:rPr>
              <w:t>1.9895</w:t>
            </w:r>
          </w:p>
        </w:tc>
      </w:tr>
      <w:tr w:rsidR="00084AEE" w:rsidTr="00084AEE">
        <w:tblPrEx>
          <w:tblCellMar>
            <w:top w:w="0" w:type="dxa"/>
            <w:bottom w:w="0" w:type="dxa"/>
          </w:tblCellMar>
        </w:tblPrEx>
        <w:trPr>
          <w:trHeight w:val="252"/>
        </w:trPr>
        <w:tc>
          <w:tcPr>
            <w:tcW w:w="1940" w:type="dxa"/>
          </w:tcPr>
          <w:p w:rsidR="00084AEE" w:rsidRDefault="00084AEE" w:rsidP="00DF1835">
            <w:pPr>
              <w:jc w:val="center"/>
              <w:rPr>
                <w:sz w:val="24"/>
              </w:rPr>
            </w:pPr>
          </w:p>
        </w:tc>
        <w:tc>
          <w:tcPr>
            <w:tcW w:w="1907" w:type="dxa"/>
          </w:tcPr>
          <w:p w:rsidR="00084AEE" w:rsidRDefault="00084AEE" w:rsidP="009C63CC">
            <w:pPr>
              <w:jc w:val="center"/>
              <w:rPr>
                <w:sz w:val="24"/>
              </w:rPr>
            </w:pPr>
            <w:r>
              <w:rPr>
                <w:sz w:val="24"/>
              </w:rPr>
              <w:t>-25.26%</w:t>
            </w:r>
          </w:p>
        </w:tc>
        <w:tc>
          <w:tcPr>
            <w:tcW w:w="267" w:type="dxa"/>
          </w:tcPr>
          <w:p w:rsidR="00084AEE" w:rsidRDefault="00084AEE" w:rsidP="00DF1835">
            <w:pPr>
              <w:jc w:val="center"/>
              <w:rPr>
                <w:sz w:val="24"/>
              </w:rPr>
            </w:pPr>
          </w:p>
        </w:tc>
        <w:tc>
          <w:tcPr>
            <w:tcW w:w="1934" w:type="dxa"/>
          </w:tcPr>
          <w:p w:rsidR="00084AEE" w:rsidRDefault="00084AEE" w:rsidP="00DF1835">
            <w:pPr>
              <w:jc w:val="center"/>
              <w:rPr>
                <w:sz w:val="24"/>
              </w:rPr>
            </w:pPr>
            <w:r>
              <w:rPr>
                <w:sz w:val="24"/>
              </w:rPr>
              <w:t>.7474</w:t>
            </w:r>
          </w:p>
        </w:tc>
        <w:tc>
          <w:tcPr>
            <w:tcW w:w="2298" w:type="dxa"/>
          </w:tcPr>
          <w:p w:rsidR="00084AEE" w:rsidRDefault="00084AEE" w:rsidP="00DF1835">
            <w:pPr>
              <w:jc w:val="center"/>
              <w:rPr>
                <w:sz w:val="24"/>
              </w:rPr>
            </w:pPr>
            <w:r>
              <w:rPr>
                <w:sz w:val="24"/>
              </w:rPr>
              <w:t>1.4870</w:t>
            </w:r>
          </w:p>
        </w:tc>
      </w:tr>
      <w:tr w:rsidR="00DF1835" w:rsidTr="00084AEE">
        <w:tblPrEx>
          <w:tblCellMar>
            <w:top w:w="0" w:type="dxa"/>
            <w:bottom w:w="0" w:type="dxa"/>
          </w:tblCellMar>
        </w:tblPrEx>
        <w:trPr>
          <w:trHeight w:val="270"/>
        </w:trPr>
        <w:tc>
          <w:tcPr>
            <w:tcW w:w="1940" w:type="dxa"/>
          </w:tcPr>
          <w:p w:rsidR="00DF1835" w:rsidRDefault="00DF1835" w:rsidP="00DF1835">
            <w:pPr>
              <w:jc w:val="center"/>
              <w:rPr>
                <w:sz w:val="24"/>
              </w:rPr>
            </w:pPr>
          </w:p>
        </w:tc>
        <w:tc>
          <w:tcPr>
            <w:tcW w:w="1907" w:type="dxa"/>
          </w:tcPr>
          <w:p w:rsidR="00DF1835" w:rsidRDefault="00DF1835" w:rsidP="00DF1835">
            <w:pPr>
              <w:jc w:val="center"/>
              <w:rPr>
                <w:sz w:val="24"/>
              </w:rPr>
            </w:pPr>
          </w:p>
        </w:tc>
        <w:tc>
          <w:tcPr>
            <w:tcW w:w="267" w:type="dxa"/>
          </w:tcPr>
          <w:p w:rsidR="00DF1835" w:rsidRDefault="00DF1835" w:rsidP="00DF1835">
            <w:pPr>
              <w:jc w:val="center"/>
              <w:rPr>
                <w:sz w:val="24"/>
              </w:rPr>
            </w:pPr>
          </w:p>
        </w:tc>
        <w:tc>
          <w:tcPr>
            <w:tcW w:w="1934" w:type="dxa"/>
          </w:tcPr>
          <w:p w:rsidR="00DF1835" w:rsidRDefault="00DF1835" w:rsidP="00DF1835">
            <w:pPr>
              <w:jc w:val="center"/>
              <w:rPr>
                <w:sz w:val="24"/>
              </w:rPr>
            </w:pPr>
          </w:p>
        </w:tc>
        <w:tc>
          <w:tcPr>
            <w:tcW w:w="2298" w:type="dxa"/>
          </w:tcPr>
          <w:p w:rsidR="00DF1835" w:rsidRDefault="00DF1835" w:rsidP="00DF1835">
            <w:pPr>
              <w:jc w:val="center"/>
              <w:rPr>
                <w:sz w:val="24"/>
              </w:rPr>
            </w:pPr>
          </w:p>
        </w:tc>
      </w:tr>
      <w:tr w:rsidR="00DF1835" w:rsidTr="00084AEE">
        <w:tblPrEx>
          <w:tblCellMar>
            <w:top w:w="0" w:type="dxa"/>
            <w:bottom w:w="0" w:type="dxa"/>
          </w:tblCellMar>
        </w:tblPrEx>
        <w:trPr>
          <w:trHeight w:val="252"/>
        </w:trPr>
        <w:tc>
          <w:tcPr>
            <w:tcW w:w="1940" w:type="dxa"/>
          </w:tcPr>
          <w:p w:rsidR="00DF1835" w:rsidRDefault="00DF1835" w:rsidP="00DF1835">
            <w:pPr>
              <w:jc w:val="center"/>
              <w:rPr>
                <w:sz w:val="24"/>
              </w:rPr>
            </w:pPr>
            <w:r>
              <w:rPr>
                <w:sz w:val="24"/>
              </w:rPr>
              <w:t>Sum:</w:t>
            </w:r>
          </w:p>
        </w:tc>
        <w:tc>
          <w:tcPr>
            <w:tcW w:w="1907" w:type="dxa"/>
          </w:tcPr>
          <w:p w:rsidR="00DF1835" w:rsidRDefault="00084AEE" w:rsidP="00DF1835">
            <w:pPr>
              <w:jc w:val="center"/>
              <w:rPr>
                <w:sz w:val="24"/>
              </w:rPr>
            </w:pPr>
            <w:r>
              <w:rPr>
                <w:sz w:val="24"/>
              </w:rPr>
              <w:t>57.41</w:t>
            </w:r>
          </w:p>
        </w:tc>
        <w:tc>
          <w:tcPr>
            <w:tcW w:w="267" w:type="dxa"/>
          </w:tcPr>
          <w:p w:rsidR="00DF1835" w:rsidRDefault="00DF1835" w:rsidP="00DF1835">
            <w:pPr>
              <w:jc w:val="center"/>
              <w:rPr>
                <w:b/>
                <w:sz w:val="24"/>
              </w:rPr>
            </w:pPr>
          </w:p>
        </w:tc>
        <w:tc>
          <w:tcPr>
            <w:tcW w:w="1934" w:type="dxa"/>
          </w:tcPr>
          <w:p w:rsidR="00DF1835" w:rsidRDefault="00DF1835" w:rsidP="00084AEE">
            <w:pPr>
              <w:jc w:val="center"/>
              <w:rPr>
                <w:sz w:val="24"/>
              </w:rPr>
            </w:pPr>
            <w:r>
              <w:rPr>
                <w:sz w:val="24"/>
              </w:rPr>
              <w:t xml:space="preserve">Raised to </w:t>
            </w:r>
            <w:r w:rsidR="00084AEE">
              <w:rPr>
                <w:sz w:val="24"/>
              </w:rPr>
              <w:t>1/5</w:t>
            </w:r>
            <w:r>
              <w:rPr>
                <w:sz w:val="24"/>
                <w:vertAlign w:val="superscript"/>
              </w:rPr>
              <w:t>th</w:t>
            </w:r>
            <w:r>
              <w:rPr>
                <w:sz w:val="24"/>
              </w:rPr>
              <w:t xml:space="preserve"> </w:t>
            </w:r>
          </w:p>
        </w:tc>
        <w:tc>
          <w:tcPr>
            <w:tcW w:w="2298" w:type="dxa"/>
          </w:tcPr>
          <w:p w:rsidR="00DF1835" w:rsidRDefault="00DF1835" w:rsidP="00DF1835">
            <w:pPr>
              <w:jc w:val="center"/>
              <w:rPr>
                <w:sz w:val="24"/>
              </w:rPr>
            </w:pPr>
          </w:p>
        </w:tc>
      </w:tr>
      <w:tr w:rsidR="00DF1835" w:rsidTr="00084AEE">
        <w:tblPrEx>
          <w:tblCellMar>
            <w:top w:w="0" w:type="dxa"/>
            <w:bottom w:w="0" w:type="dxa"/>
          </w:tblCellMar>
        </w:tblPrEx>
        <w:trPr>
          <w:trHeight w:val="252"/>
        </w:trPr>
        <w:tc>
          <w:tcPr>
            <w:tcW w:w="1940" w:type="dxa"/>
          </w:tcPr>
          <w:p w:rsidR="00DF1835" w:rsidRDefault="00DF1835" w:rsidP="00DF1835">
            <w:pPr>
              <w:jc w:val="center"/>
              <w:rPr>
                <w:sz w:val="24"/>
              </w:rPr>
            </w:pPr>
          </w:p>
        </w:tc>
        <w:tc>
          <w:tcPr>
            <w:tcW w:w="1907" w:type="dxa"/>
          </w:tcPr>
          <w:p w:rsidR="00DF1835" w:rsidRDefault="00DF1835" w:rsidP="00DF1835">
            <w:pPr>
              <w:jc w:val="center"/>
              <w:rPr>
                <w:sz w:val="24"/>
              </w:rPr>
            </w:pPr>
          </w:p>
        </w:tc>
        <w:tc>
          <w:tcPr>
            <w:tcW w:w="267" w:type="dxa"/>
          </w:tcPr>
          <w:p w:rsidR="00DF1835" w:rsidRDefault="00DF1835" w:rsidP="00DF1835">
            <w:pPr>
              <w:jc w:val="center"/>
              <w:rPr>
                <w:sz w:val="24"/>
              </w:rPr>
            </w:pPr>
          </w:p>
        </w:tc>
        <w:tc>
          <w:tcPr>
            <w:tcW w:w="1934" w:type="dxa"/>
          </w:tcPr>
          <w:p w:rsidR="00DF1835" w:rsidRDefault="00DF1835" w:rsidP="00DF1835">
            <w:pPr>
              <w:jc w:val="center"/>
              <w:rPr>
                <w:sz w:val="24"/>
              </w:rPr>
            </w:pPr>
            <w:r>
              <w:rPr>
                <w:sz w:val="24"/>
              </w:rPr>
              <w:t>Power:</w:t>
            </w:r>
          </w:p>
        </w:tc>
        <w:tc>
          <w:tcPr>
            <w:tcW w:w="2298" w:type="dxa"/>
          </w:tcPr>
          <w:p w:rsidR="00DF1835" w:rsidRDefault="00084AEE" w:rsidP="00DF1835">
            <w:pPr>
              <w:jc w:val="center"/>
              <w:rPr>
                <w:bCs/>
                <w:sz w:val="24"/>
              </w:rPr>
            </w:pPr>
            <w:r>
              <w:rPr>
                <w:bCs/>
                <w:sz w:val="24"/>
              </w:rPr>
              <w:t>1.0826</w:t>
            </w:r>
          </w:p>
        </w:tc>
      </w:tr>
      <w:tr w:rsidR="00DF1835" w:rsidTr="00084AEE">
        <w:tblPrEx>
          <w:tblCellMar>
            <w:top w:w="0" w:type="dxa"/>
            <w:bottom w:w="0" w:type="dxa"/>
          </w:tblCellMar>
        </w:tblPrEx>
        <w:trPr>
          <w:trHeight w:val="252"/>
        </w:trPr>
        <w:tc>
          <w:tcPr>
            <w:tcW w:w="1940" w:type="dxa"/>
          </w:tcPr>
          <w:p w:rsidR="00DF1835" w:rsidRDefault="00DF1835" w:rsidP="00DF1835">
            <w:pPr>
              <w:jc w:val="center"/>
              <w:rPr>
                <w:sz w:val="24"/>
              </w:rPr>
            </w:pPr>
          </w:p>
        </w:tc>
        <w:tc>
          <w:tcPr>
            <w:tcW w:w="1907" w:type="dxa"/>
          </w:tcPr>
          <w:p w:rsidR="00DF1835" w:rsidRDefault="00DF1835" w:rsidP="00DF1835">
            <w:pPr>
              <w:jc w:val="center"/>
              <w:rPr>
                <w:sz w:val="24"/>
              </w:rPr>
            </w:pPr>
          </w:p>
        </w:tc>
        <w:tc>
          <w:tcPr>
            <w:tcW w:w="267" w:type="dxa"/>
          </w:tcPr>
          <w:p w:rsidR="00DF1835" w:rsidRDefault="00DF1835" w:rsidP="00DF1835">
            <w:pPr>
              <w:jc w:val="center"/>
              <w:rPr>
                <w:sz w:val="24"/>
              </w:rPr>
            </w:pPr>
          </w:p>
        </w:tc>
        <w:tc>
          <w:tcPr>
            <w:tcW w:w="1934" w:type="dxa"/>
          </w:tcPr>
          <w:p w:rsidR="00DF1835" w:rsidRDefault="00DF1835" w:rsidP="00DF1835">
            <w:pPr>
              <w:jc w:val="center"/>
              <w:rPr>
                <w:sz w:val="24"/>
              </w:rPr>
            </w:pPr>
          </w:p>
        </w:tc>
        <w:tc>
          <w:tcPr>
            <w:tcW w:w="2298" w:type="dxa"/>
          </w:tcPr>
          <w:p w:rsidR="00DF1835" w:rsidRDefault="00DF1835" w:rsidP="00DF1835">
            <w:pPr>
              <w:jc w:val="center"/>
              <w:rPr>
                <w:b/>
                <w:sz w:val="24"/>
              </w:rPr>
            </w:pPr>
          </w:p>
        </w:tc>
      </w:tr>
      <w:tr w:rsidR="00DF1835" w:rsidTr="00084AEE">
        <w:tblPrEx>
          <w:tblCellMar>
            <w:top w:w="0" w:type="dxa"/>
            <w:bottom w:w="0" w:type="dxa"/>
          </w:tblCellMar>
        </w:tblPrEx>
        <w:trPr>
          <w:trHeight w:val="270"/>
        </w:trPr>
        <w:tc>
          <w:tcPr>
            <w:tcW w:w="1940" w:type="dxa"/>
          </w:tcPr>
          <w:p w:rsidR="00DF1835" w:rsidRDefault="00DF1835" w:rsidP="00DF1835">
            <w:pPr>
              <w:jc w:val="center"/>
              <w:rPr>
                <w:sz w:val="24"/>
              </w:rPr>
            </w:pPr>
            <w:r>
              <w:rPr>
                <w:sz w:val="24"/>
              </w:rPr>
              <w:t>Arithmetic</w:t>
            </w:r>
          </w:p>
        </w:tc>
        <w:tc>
          <w:tcPr>
            <w:tcW w:w="1907" w:type="dxa"/>
          </w:tcPr>
          <w:p w:rsidR="00DF1835" w:rsidRDefault="00DF1835" w:rsidP="00DF1835">
            <w:pPr>
              <w:jc w:val="center"/>
              <w:rPr>
                <w:sz w:val="24"/>
              </w:rPr>
            </w:pPr>
          </w:p>
        </w:tc>
        <w:tc>
          <w:tcPr>
            <w:tcW w:w="267" w:type="dxa"/>
          </w:tcPr>
          <w:p w:rsidR="00DF1835" w:rsidRDefault="00DF1835" w:rsidP="00DF1835">
            <w:pPr>
              <w:jc w:val="center"/>
              <w:rPr>
                <w:sz w:val="24"/>
              </w:rPr>
            </w:pPr>
          </w:p>
        </w:tc>
        <w:tc>
          <w:tcPr>
            <w:tcW w:w="1934" w:type="dxa"/>
          </w:tcPr>
          <w:p w:rsidR="00DF1835" w:rsidRDefault="00DF1835" w:rsidP="00DF1835">
            <w:pPr>
              <w:jc w:val="center"/>
              <w:rPr>
                <w:sz w:val="24"/>
              </w:rPr>
            </w:pPr>
            <w:r>
              <w:rPr>
                <w:sz w:val="24"/>
              </w:rPr>
              <w:t>Geometric</w:t>
            </w:r>
          </w:p>
        </w:tc>
        <w:tc>
          <w:tcPr>
            <w:tcW w:w="2298" w:type="dxa"/>
          </w:tcPr>
          <w:p w:rsidR="00DF1835" w:rsidRDefault="00DF1835" w:rsidP="00DF1835">
            <w:pPr>
              <w:jc w:val="center"/>
              <w:rPr>
                <w:b/>
                <w:sz w:val="24"/>
              </w:rPr>
            </w:pPr>
          </w:p>
        </w:tc>
      </w:tr>
      <w:tr w:rsidR="00DF1835" w:rsidTr="00084AEE">
        <w:tblPrEx>
          <w:tblCellMar>
            <w:top w:w="0" w:type="dxa"/>
            <w:bottom w:w="0" w:type="dxa"/>
          </w:tblCellMar>
        </w:tblPrEx>
        <w:trPr>
          <w:trHeight w:val="270"/>
        </w:trPr>
        <w:tc>
          <w:tcPr>
            <w:tcW w:w="1940" w:type="dxa"/>
          </w:tcPr>
          <w:p w:rsidR="00DF1835" w:rsidRDefault="00DF1835" w:rsidP="00DF1835">
            <w:pPr>
              <w:jc w:val="center"/>
              <w:rPr>
                <w:sz w:val="24"/>
              </w:rPr>
            </w:pPr>
            <w:r>
              <w:rPr>
                <w:sz w:val="24"/>
              </w:rPr>
              <w:t>Average:</w:t>
            </w:r>
          </w:p>
        </w:tc>
        <w:tc>
          <w:tcPr>
            <w:tcW w:w="1907" w:type="dxa"/>
          </w:tcPr>
          <w:p w:rsidR="00DF1835" w:rsidRDefault="00167727" w:rsidP="00DF1835">
            <w:pPr>
              <w:jc w:val="center"/>
              <w:rPr>
                <w:sz w:val="24"/>
              </w:rPr>
            </w:pPr>
            <w:r>
              <w:rPr>
                <w:sz w:val="24"/>
              </w:rPr>
              <w:t>11.48</w:t>
            </w:r>
            <w:r w:rsidR="00DF1835">
              <w:rPr>
                <w:sz w:val="24"/>
              </w:rPr>
              <w:t>%</w:t>
            </w:r>
          </w:p>
        </w:tc>
        <w:tc>
          <w:tcPr>
            <w:tcW w:w="267" w:type="dxa"/>
          </w:tcPr>
          <w:p w:rsidR="00DF1835" w:rsidRDefault="00DF1835" w:rsidP="00DF1835">
            <w:pPr>
              <w:jc w:val="center"/>
              <w:rPr>
                <w:b/>
                <w:sz w:val="24"/>
              </w:rPr>
            </w:pPr>
          </w:p>
        </w:tc>
        <w:tc>
          <w:tcPr>
            <w:tcW w:w="1934" w:type="dxa"/>
          </w:tcPr>
          <w:p w:rsidR="00DF1835" w:rsidRDefault="00DF1835" w:rsidP="00DF1835">
            <w:pPr>
              <w:jc w:val="center"/>
              <w:rPr>
                <w:sz w:val="24"/>
              </w:rPr>
            </w:pPr>
            <w:r>
              <w:rPr>
                <w:sz w:val="24"/>
              </w:rPr>
              <w:t>Average:</w:t>
            </w:r>
          </w:p>
        </w:tc>
        <w:tc>
          <w:tcPr>
            <w:tcW w:w="2298" w:type="dxa"/>
          </w:tcPr>
          <w:p w:rsidR="00DF1835" w:rsidRDefault="00084AEE" w:rsidP="00DF1835">
            <w:pPr>
              <w:jc w:val="center"/>
              <w:rPr>
                <w:bCs/>
                <w:sz w:val="24"/>
              </w:rPr>
            </w:pPr>
            <w:r>
              <w:rPr>
                <w:bCs/>
                <w:sz w:val="24"/>
              </w:rPr>
              <w:t>8.26</w:t>
            </w:r>
            <w:r w:rsidR="00DF1835">
              <w:rPr>
                <w:bCs/>
                <w:sz w:val="24"/>
              </w:rPr>
              <w:t>%</w:t>
            </w:r>
          </w:p>
        </w:tc>
      </w:tr>
    </w:tbl>
    <w:p w:rsidR="00E24F00" w:rsidRDefault="00E24F00">
      <w:pPr>
        <w:rPr>
          <w:b/>
          <w:sz w:val="24"/>
        </w:rPr>
      </w:pPr>
      <w:r>
        <w:rPr>
          <w:b/>
          <w:sz w:val="24"/>
        </w:rPr>
        <w:br/>
      </w:r>
      <w:r>
        <w:rPr>
          <w:b/>
          <w:sz w:val="24"/>
        </w:rPr>
        <w:br/>
      </w:r>
    </w:p>
    <w:p w:rsidR="00E24F00" w:rsidRDefault="00E24F00">
      <w:pPr>
        <w:numPr>
          <w:ilvl w:val="1"/>
          <w:numId w:val="31"/>
        </w:numPr>
        <w:rPr>
          <w:b/>
          <w:sz w:val="24"/>
        </w:rPr>
      </w:pPr>
      <w:r>
        <w:rPr>
          <w:b/>
          <w:sz w:val="24"/>
        </w:rPr>
        <w:t>Arithmetic Average Return or Geometric Average Return?</w:t>
      </w:r>
    </w:p>
    <w:p w:rsidR="00E24F00" w:rsidRDefault="00E24F00">
      <w:pPr>
        <w:rPr>
          <w:b/>
          <w:sz w:val="24"/>
        </w:rPr>
      </w:pPr>
    </w:p>
    <w:p w:rsidR="00E24F00" w:rsidRDefault="00E24F00">
      <w:pPr>
        <w:pStyle w:val="BodyText"/>
      </w:pPr>
      <w:r>
        <w:t>Two points are worth stressing:</w:t>
      </w:r>
    </w:p>
    <w:p w:rsidR="00E24F00" w:rsidRDefault="00E24F00">
      <w:pPr>
        <w:pStyle w:val="BodyText"/>
      </w:pPr>
    </w:p>
    <w:p w:rsidR="00E24F00" w:rsidRDefault="00E24F00">
      <w:pPr>
        <w:rPr>
          <w:bCs/>
          <w:sz w:val="24"/>
        </w:rPr>
      </w:pPr>
      <w:r>
        <w:rPr>
          <w:bCs/>
          <w:sz w:val="24"/>
        </w:rPr>
        <w:t>First, generally, when one sees a discussion of “average returns,” the return in question is an arithmetic return.</w:t>
      </w:r>
    </w:p>
    <w:p w:rsidR="00E24F00" w:rsidRDefault="00E24F00">
      <w:pPr>
        <w:rPr>
          <w:bCs/>
          <w:sz w:val="24"/>
        </w:rPr>
      </w:pPr>
    </w:p>
    <w:p w:rsidR="00E24F00" w:rsidRDefault="00E24F00">
      <w:pPr>
        <w:rPr>
          <w:bCs/>
          <w:sz w:val="24"/>
        </w:rPr>
      </w:pPr>
      <w:r>
        <w:rPr>
          <w:bCs/>
          <w:sz w:val="24"/>
        </w:rPr>
        <w:t xml:space="preserve">Second, there is a nettlesome problem concerning forecasting future returns using </w:t>
      </w:r>
      <w:r>
        <w:rPr>
          <w:bCs/>
          <w:i/>
          <w:iCs/>
          <w:sz w:val="24"/>
        </w:rPr>
        <w:t>estimates</w:t>
      </w:r>
      <w:r>
        <w:rPr>
          <w:bCs/>
          <w:sz w:val="24"/>
        </w:rPr>
        <w:t xml:space="preserve"> of arithmetic and geometric returns. The problem is: arithmetic average returns are probably too high for longer periods, and geometric average returns are probably too low for shorter periods. Fortunately, Blume’s formula provides a way to weight arithmetic and geometric averages for a T-year average return forecast using arithmetic and geometric averages which have been calculated for an N-year period (T cannot exceed N).</w:t>
      </w:r>
    </w:p>
    <w:p w:rsidR="00E24F00" w:rsidRDefault="00E24F00">
      <w:pPr>
        <w:rPr>
          <w:bCs/>
          <w:sz w:val="24"/>
        </w:rPr>
      </w:pPr>
    </w:p>
    <w:p w:rsidR="00E24F00" w:rsidRDefault="00E24F00">
      <w:pPr>
        <w:rPr>
          <w:bCs/>
          <w:sz w:val="24"/>
        </w:rPr>
      </w:pPr>
      <w:r>
        <w:rPr>
          <w:bCs/>
          <w:sz w:val="24"/>
        </w:rPr>
        <w:t>Blume’s formula is:</w:t>
      </w:r>
    </w:p>
    <w:p w:rsidR="00E24F00" w:rsidRDefault="00E24F00">
      <w:pPr>
        <w:rPr>
          <w:bCs/>
          <w:sz w:val="24"/>
        </w:rPr>
      </w:pPr>
    </w:p>
    <w:p w:rsidR="00E24F00" w:rsidRDefault="00FB3B78">
      <w:pPr>
        <w:rPr>
          <w:bCs/>
          <w:sz w:val="24"/>
        </w:rPr>
      </w:pPr>
      <w:r>
        <w:rPr>
          <w:bCs/>
          <w:noProof/>
          <w:position w:val="-24"/>
          <w:sz w:val="24"/>
        </w:rPr>
        <w:drawing>
          <wp:inline distT="0" distB="0" distL="0" distR="0">
            <wp:extent cx="4200525"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0525" cy="390525"/>
                    </a:xfrm>
                    <a:prstGeom prst="rect">
                      <a:avLst/>
                    </a:prstGeom>
                    <a:noFill/>
                    <a:ln>
                      <a:noFill/>
                    </a:ln>
                  </pic:spPr>
                </pic:pic>
              </a:graphicData>
            </a:graphic>
          </wp:inline>
        </w:drawing>
      </w:r>
    </w:p>
    <w:p w:rsidR="00E24F00" w:rsidRDefault="00E24F00">
      <w:pPr>
        <w:rPr>
          <w:bCs/>
          <w:sz w:val="24"/>
        </w:rPr>
      </w:pPr>
    </w:p>
    <w:p w:rsidR="00E24F00" w:rsidRDefault="00E24F00">
      <w:pPr>
        <w:rPr>
          <w:bCs/>
          <w:sz w:val="24"/>
        </w:rPr>
      </w:pPr>
      <w:r>
        <w:rPr>
          <w:bCs/>
          <w:sz w:val="24"/>
        </w:rPr>
        <w:t xml:space="preserve">As is readily apparent from this formula, as T (the length of time of the forecast) increases, the geometric average receives a higher weight relative to the </w:t>
      </w:r>
      <w:r>
        <w:rPr>
          <w:bCs/>
          <w:sz w:val="24"/>
        </w:rPr>
        <w:lastRenderedPageBreak/>
        <w:t xml:space="preserve">arithmetic average. That is, if N = T, the arithmetic average receives no weight, and the resulting forecast stems entirely from the </w:t>
      </w:r>
      <w:r w:rsidR="00D711DA">
        <w:rPr>
          <w:bCs/>
          <w:sz w:val="24"/>
        </w:rPr>
        <w:t>g</w:t>
      </w:r>
      <w:r>
        <w:rPr>
          <w:bCs/>
          <w:sz w:val="24"/>
        </w:rPr>
        <w:t xml:space="preserve">eometric average. If T = 1, then the </w:t>
      </w:r>
      <w:r w:rsidR="00D711DA">
        <w:rPr>
          <w:bCs/>
          <w:sz w:val="24"/>
        </w:rPr>
        <w:t>g</w:t>
      </w:r>
      <w:r>
        <w:rPr>
          <w:bCs/>
          <w:sz w:val="24"/>
        </w:rPr>
        <w:t xml:space="preserve">eometric average receives a zero weight. In this case, the resulting forecast comes only from the </w:t>
      </w:r>
      <w:r w:rsidR="00D711DA">
        <w:rPr>
          <w:bCs/>
          <w:sz w:val="24"/>
        </w:rPr>
        <w:t>a</w:t>
      </w:r>
      <w:r>
        <w:rPr>
          <w:bCs/>
          <w:sz w:val="24"/>
        </w:rPr>
        <w:t xml:space="preserve">rithmetic </w:t>
      </w:r>
      <w:r w:rsidR="00D711DA">
        <w:rPr>
          <w:bCs/>
          <w:sz w:val="24"/>
        </w:rPr>
        <w:t>a</w:t>
      </w:r>
      <w:r>
        <w:rPr>
          <w:bCs/>
          <w:sz w:val="24"/>
        </w:rPr>
        <w:t>verage.</w:t>
      </w:r>
    </w:p>
    <w:p w:rsidR="00DF1835" w:rsidRDefault="00DF1835">
      <w:pPr>
        <w:rPr>
          <w:bCs/>
          <w:sz w:val="24"/>
        </w:rPr>
      </w:pPr>
    </w:p>
    <w:p w:rsidR="00DF1835" w:rsidRPr="00DF1835" w:rsidRDefault="00DF1835" w:rsidP="00DF1835">
      <w:pPr>
        <w:numPr>
          <w:ilvl w:val="1"/>
          <w:numId w:val="31"/>
        </w:numPr>
        <w:rPr>
          <w:b/>
          <w:sz w:val="24"/>
        </w:rPr>
      </w:pPr>
      <w:r>
        <w:rPr>
          <w:b/>
          <w:sz w:val="24"/>
        </w:rPr>
        <w:t>Dolla</w:t>
      </w:r>
      <w:r w:rsidR="00DE1A35">
        <w:rPr>
          <w:b/>
          <w:sz w:val="24"/>
        </w:rPr>
        <w:t>r-</w:t>
      </w:r>
      <w:r>
        <w:rPr>
          <w:b/>
          <w:sz w:val="24"/>
        </w:rPr>
        <w:t>Weighted Average Returns</w:t>
      </w:r>
    </w:p>
    <w:p w:rsidR="00DF1835" w:rsidRDefault="00DF1835" w:rsidP="00DF1835">
      <w:pPr>
        <w:rPr>
          <w:sz w:val="24"/>
        </w:rPr>
      </w:pPr>
    </w:p>
    <w:p w:rsidR="00DF1835" w:rsidRDefault="00DF1835">
      <w:pPr>
        <w:rPr>
          <w:sz w:val="24"/>
        </w:rPr>
      </w:pPr>
      <w:r>
        <w:rPr>
          <w:sz w:val="24"/>
        </w:rPr>
        <w:t xml:space="preserve">If an investor adds money to or subtracts money from an account, his actual return will likely be different than either the arithmetic or geometric average. The dollar weighted return (or </w:t>
      </w:r>
      <w:r w:rsidR="000D7891">
        <w:rPr>
          <w:sz w:val="24"/>
        </w:rPr>
        <w:t xml:space="preserve">internal rate of return, </w:t>
      </w:r>
      <w:r>
        <w:rPr>
          <w:sz w:val="24"/>
        </w:rPr>
        <w:t>IRR) captures the impact of cash flows, giving the average compound rate of return earned per year.</w:t>
      </w:r>
    </w:p>
    <w:p w:rsidR="00DF1835" w:rsidRPr="00DF1835" w:rsidRDefault="00DF1835">
      <w:pPr>
        <w:rPr>
          <w:sz w:val="24"/>
        </w:rPr>
      </w:pPr>
    </w:p>
    <w:p w:rsidR="00E24F00" w:rsidRDefault="00E24F00">
      <w:pPr>
        <w:rPr>
          <w:b/>
          <w:sz w:val="24"/>
        </w:rPr>
      </w:pPr>
    </w:p>
    <w:p w:rsidR="00E24F00" w:rsidRDefault="00E24F00">
      <w:pPr>
        <w:numPr>
          <w:ilvl w:val="1"/>
          <w:numId w:val="17"/>
        </w:numPr>
        <w:rPr>
          <w:b/>
          <w:sz w:val="24"/>
        </w:rPr>
      </w:pPr>
      <w:r>
        <w:rPr>
          <w:b/>
          <w:sz w:val="24"/>
        </w:rPr>
        <w:t>Risk and Return</w:t>
      </w:r>
    </w:p>
    <w:p w:rsidR="00E24F00" w:rsidRDefault="00E24F00">
      <w:pPr>
        <w:rPr>
          <w:sz w:val="24"/>
        </w:rPr>
      </w:pPr>
    </w:p>
    <w:p w:rsidR="00E24F00" w:rsidRDefault="00E24F00">
      <w:pPr>
        <w:keepNext/>
        <w:numPr>
          <w:ilvl w:val="0"/>
          <w:numId w:val="13"/>
        </w:numPr>
        <w:rPr>
          <w:b/>
          <w:sz w:val="24"/>
        </w:rPr>
      </w:pPr>
      <w:r>
        <w:rPr>
          <w:b/>
          <w:sz w:val="24"/>
        </w:rPr>
        <w:t>The Risk-Return Trade-off</w:t>
      </w:r>
    </w:p>
    <w:p w:rsidR="00E24F00" w:rsidRDefault="00E24F00">
      <w:pPr>
        <w:rPr>
          <w:b/>
          <w:sz w:val="24"/>
        </w:rPr>
      </w:pPr>
    </w:p>
    <w:p w:rsidR="00E24F00" w:rsidRDefault="00E24F00">
      <w:pPr>
        <w:rPr>
          <w:sz w:val="24"/>
        </w:rPr>
      </w:pPr>
      <w:r>
        <w:rPr>
          <w:sz w:val="24"/>
        </w:rPr>
        <w:t>If we are unwilling to take on any risk, but we are willing to forego the use of our money for a while, then we can earn the risk-free rate. We can think of this as the time value of money. If we are willing to bear risk, then we can expect to earn a risk premium, on average. We can think of these two factors as the "wait" component and the "worry" component.</w:t>
      </w:r>
    </w:p>
    <w:p w:rsidR="00E24F00" w:rsidRDefault="00E24F00">
      <w:pPr>
        <w:rPr>
          <w:sz w:val="24"/>
        </w:rPr>
      </w:pPr>
    </w:p>
    <w:p w:rsidR="00E24F00" w:rsidRDefault="00E24F00">
      <w:pPr>
        <w:rPr>
          <w:sz w:val="24"/>
        </w:rPr>
      </w:pPr>
      <w:r>
        <w:rPr>
          <w:sz w:val="24"/>
        </w:rPr>
        <w:t>Notice that the</w:t>
      </w:r>
      <w:r w:rsidR="00167727">
        <w:rPr>
          <w:sz w:val="24"/>
        </w:rPr>
        <w:t xml:space="preserve"> risk premium is not guaranteed; </w:t>
      </w:r>
      <w:r>
        <w:rPr>
          <w:sz w:val="24"/>
        </w:rPr>
        <w:t>it is "on average." Risky investments by their very nature of being risky do not always pay more than risk-free investments. Also, only those risks that are unavoidable are compensated by the risk premium. There is no reward for bearing avoidable risk.</w:t>
      </w:r>
    </w:p>
    <w:p w:rsidR="00E24F00" w:rsidRDefault="00E24F00">
      <w:pPr>
        <w:rPr>
          <w:b/>
          <w:sz w:val="24"/>
        </w:rPr>
      </w:pPr>
    </w:p>
    <w:p w:rsidR="00E24F00" w:rsidRDefault="00E24F00">
      <w:pPr>
        <w:numPr>
          <w:ilvl w:val="0"/>
          <w:numId w:val="13"/>
        </w:numPr>
        <w:rPr>
          <w:b/>
          <w:sz w:val="24"/>
        </w:rPr>
      </w:pPr>
      <w:r>
        <w:rPr>
          <w:b/>
          <w:sz w:val="24"/>
        </w:rPr>
        <w:t>A Look Ahead</w:t>
      </w:r>
    </w:p>
    <w:p w:rsidR="00E24F00" w:rsidRDefault="00E24F00">
      <w:pPr>
        <w:rPr>
          <w:b/>
          <w:sz w:val="24"/>
        </w:rPr>
      </w:pPr>
    </w:p>
    <w:p w:rsidR="00DF1835" w:rsidRDefault="00E24F00">
      <w:pPr>
        <w:rPr>
          <w:sz w:val="24"/>
        </w:rPr>
      </w:pPr>
      <w:r>
        <w:rPr>
          <w:sz w:val="24"/>
        </w:rPr>
        <w:t>The remainder of the text focuses on financial assets only: stocks, bonds, options and futures. Remember that to understand the potential reward from an investment, you must understand the risk involved.</w:t>
      </w:r>
    </w:p>
    <w:p w:rsidR="00E24F00" w:rsidRDefault="00E24F00">
      <w:pPr>
        <w:rPr>
          <w:b/>
          <w:sz w:val="24"/>
        </w:rPr>
      </w:pPr>
      <w:r>
        <w:rPr>
          <w:sz w:val="24"/>
        </w:rPr>
        <w:br/>
      </w:r>
    </w:p>
    <w:p w:rsidR="00E24F00" w:rsidRDefault="00E24F00">
      <w:pPr>
        <w:numPr>
          <w:ilvl w:val="1"/>
          <w:numId w:val="17"/>
        </w:numPr>
        <w:rPr>
          <w:b/>
          <w:sz w:val="24"/>
        </w:rPr>
      </w:pPr>
      <w:r>
        <w:rPr>
          <w:b/>
          <w:sz w:val="24"/>
        </w:rPr>
        <w:t>Summary and Conclusions</w:t>
      </w:r>
    </w:p>
    <w:sectPr w:rsidR="00E24F0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37" w:rsidRDefault="00922437">
      <w:r>
        <w:separator/>
      </w:r>
    </w:p>
  </w:endnote>
  <w:endnote w:type="continuationSeparator" w:id="0">
    <w:p w:rsidR="00922437" w:rsidRDefault="0092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FE" w:rsidRDefault="00F14EFE" w:rsidP="00F14EFE">
    <w:pPr>
      <w:spacing w:before="8"/>
      <w:ind w:left="-12" w:right="-32"/>
      <w:jc w:val="center"/>
      <w:rPr>
        <w:rFonts w:ascii="Times New Roman" w:hAnsi="Times New Roman"/>
        <w:sz w:val="16"/>
        <w:szCs w:val="16"/>
      </w:rPr>
    </w:pPr>
    <w:r>
      <w:rPr>
        <w:rFonts w:ascii="Times New Roman" w:hAnsi="Times New Roman"/>
        <w:sz w:val="16"/>
        <w:szCs w:val="16"/>
      </w:rPr>
      <w:t>Copyright</w:t>
    </w:r>
    <w:r>
      <w:rPr>
        <w:rFonts w:ascii="Times New Roman" w:hAnsi="Times New Roman"/>
        <w:spacing w:val="-6"/>
        <w:sz w:val="16"/>
        <w:szCs w:val="16"/>
      </w:rPr>
      <w:t xml:space="preserve"> </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z w:val="16"/>
        <w:szCs w:val="16"/>
      </w:rPr>
      <w:t>2018 McGraw-Hill</w:t>
    </w:r>
    <w:r>
      <w:rPr>
        <w:rFonts w:ascii="Times New Roman" w:hAnsi="Times New Roman"/>
        <w:spacing w:val="-9"/>
        <w:sz w:val="16"/>
        <w:szCs w:val="16"/>
      </w:rPr>
      <w:t xml:space="preserve"> </w:t>
    </w:r>
    <w:r>
      <w:rPr>
        <w:rFonts w:ascii="Times New Roman" w:hAnsi="Times New Roman"/>
        <w:sz w:val="16"/>
        <w:szCs w:val="16"/>
      </w:rPr>
      <w:t>Education.</w:t>
    </w:r>
    <w:r>
      <w:rPr>
        <w:rFonts w:ascii="Times New Roman" w:hAnsi="Times New Roman"/>
        <w:spacing w:val="-7"/>
        <w:sz w:val="16"/>
        <w:szCs w:val="16"/>
      </w:rPr>
      <w:t xml:space="preserve"> </w:t>
    </w:r>
    <w:r>
      <w:rPr>
        <w:rFonts w:ascii="Times New Roman" w:hAnsi="Times New Roman"/>
        <w:sz w:val="16"/>
        <w:szCs w:val="16"/>
      </w:rPr>
      <w:t>All</w:t>
    </w:r>
    <w:r>
      <w:rPr>
        <w:rFonts w:ascii="Times New Roman" w:hAnsi="Times New Roman"/>
        <w:spacing w:val="-2"/>
        <w:sz w:val="16"/>
        <w:szCs w:val="16"/>
      </w:rPr>
      <w:t xml:space="preserve"> </w:t>
    </w:r>
    <w:r>
      <w:rPr>
        <w:rFonts w:ascii="Times New Roman" w:hAnsi="Times New Roman"/>
        <w:sz w:val="16"/>
        <w:szCs w:val="16"/>
      </w:rPr>
      <w:t>rights</w:t>
    </w:r>
    <w:r>
      <w:rPr>
        <w:rFonts w:ascii="Times New Roman" w:hAnsi="Times New Roman"/>
        <w:spacing w:val="-4"/>
        <w:sz w:val="16"/>
        <w:szCs w:val="16"/>
      </w:rPr>
      <w:t xml:space="preserve"> </w:t>
    </w:r>
    <w:r>
      <w:rPr>
        <w:rFonts w:ascii="Times New Roman" w:hAnsi="Times New Roman"/>
        <w:sz w:val="16"/>
        <w:szCs w:val="16"/>
      </w:rPr>
      <w:t>reserved.</w:t>
    </w:r>
    <w:r>
      <w:rPr>
        <w:rFonts w:ascii="Times New Roman" w:hAnsi="Times New Roman"/>
        <w:spacing w:val="-6"/>
        <w:sz w:val="16"/>
        <w:szCs w:val="16"/>
      </w:rPr>
      <w:t xml:space="preserve"> </w:t>
    </w:r>
    <w:r>
      <w:rPr>
        <w:rFonts w:ascii="Times New Roman" w:hAnsi="Times New Roman"/>
        <w:sz w:val="16"/>
        <w:szCs w:val="16"/>
      </w:rPr>
      <w:t>No reproduction</w:t>
    </w:r>
    <w:r>
      <w:rPr>
        <w:rFonts w:ascii="Times New Roman" w:hAnsi="Times New Roman"/>
        <w:spacing w:val="-8"/>
        <w:sz w:val="16"/>
        <w:szCs w:val="16"/>
      </w:rPr>
      <w:t xml:space="preserve"> </w:t>
    </w:r>
    <w:r>
      <w:rPr>
        <w:rFonts w:ascii="Times New Roman" w:hAnsi="Times New Roman"/>
        <w:sz w:val="16"/>
        <w:szCs w:val="16"/>
      </w:rPr>
      <w:t>or distribution</w:t>
    </w:r>
    <w:r>
      <w:rPr>
        <w:rFonts w:ascii="Times New Roman" w:hAnsi="Times New Roman"/>
        <w:spacing w:val="-7"/>
        <w:sz w:val="16"/>
        <w:szCs w:val="16"/>
      </w:rPr>
      <w:t xml:space="preserve"> </w:t>
    </w:r>
    <w:r>
      <w:rPr>
        <w:rFonts w:ascii="Times New Roman" w:hAnsi="Times New Roman"/>
        <w:sz w:val="16"/>
        <w:szCs w:val="16"/>
      </w:rPr>
      <w:t>without</w:t>
    </w:r>
    <w:r>
      <w:rPr>
        <w:rFonts w:ascii="Times New Roman" w:hAnsi="Times New Roman"/>
        <w:spacing w:val="-5"/>
        <w:sz w:val="16"/>
        <w:szCs w:val="16"/>
      </w:rPr>
      <w:t xml:space="preserve"> </w:t>
    </w:r>
    <w:r>
      <w:rPr>
        <w:rFonts w:ascii="Times New Roman" w:hAnsi="Times New Roman"/>
        <w:sz w:val="16"/>
        <w:szCs w:val="16"/>
      </w:rPr>
      <w:t>the</w:t>
    </w:r>
    <w:r>
      <w:rPr>
        <w:rFonts w:ascii="Times New Roman" w:hAnsi="Times New Roman"/>
        <w:spacing w:val="-2"/>
        <w:sz w:val="16"/>
        <w:szCs w:val="16"/>
      </w:rPr>
      <w:t xml:space="preserve"> </w:t>
    </w:r>
    <w:r>
      <w:rPr>
        <w:rFonts w:ascii="Times New Roman" w:hAnsi="Times New Roman"/>
        <w:sz w:val="16"/>
        <w:szCs w:val="16"/>
      </w:rPr>
      <w:t>prior</w:t>
    </w:r>
    <w:r>
      <w:rPr>
        <w:rFonts w:ascii="Times New Roman" w:hAnsi="Times New Roman"/>
        <w:spacing w:val="-3"/>
        <w:sz w:val="16"/>
        <w:szCs w:val="16"/>
      </w:rPr>
      <w:t xml:space="preserve"> </w:t>
    </w:r>
    <w:r>
      <w:rPr>
        <w:rFonts w:ascii="Times New Roman" w:hAnsi="Times New Roman"/>
        <w:sz w:val="16"/>
        <w:szCs w:val="16"/>
      </w:rPr>
      <w:t>written</w:t>
    </w:r>
    <w:r>
      <w:rPr>
        <w:rFonts w:ascii="Times New Roman" w:hAnsi="Times New Roman"/>
        <w:spacing w:val="-5"/>
        <w:sz w:val="16"/>
        <w:szCs w:val="16"/>
      </w:rPr>
      <w:t xml:space="preserve"> </w:t>
    </w:r>
    <w:r>
      <w:rPr>
        <w:rFonts w:ascii="Times New Roman" w:hAnsi="Times New Roman"/>
        <w:sz w:val="16"/>
        <w:szCs w:val="16"/>
      </w:rPr>
      <w:t>consent</w:t>
    </w:r>
    <w:r>
      <w:rPr>
        <w:rFonts w:ascii="Times New Roman" w:hAnsi="Times New Roman"/>
        <w:spacing w:val="-5"/>
        <w:sz w:val="16"/>
        <w:szCs w:val="16"/>
      </w:rPr>
      <w:t xml:space="preserve"> </w:t>
    </w:r>
    <w:r>
      <w:rPr>
        <w:rFonts w:ascii="Times New Roman" w:hAnsi="Times New Roman"/>
        <w:sz w:val="16"/>
        <w:szCs w:val="16"/>
      </w:rPr>
      <w:t>of McGraw-Hill</w:t>
    </w:r>
    <w:r>
      <w:rPr>
        <w:rFonts w:ascii="Times New Roman" w:hAnsi="Times New Roman"/>
        <w:spacing w:val="-9"/>
        <w:sz w:val="16"/>
        <w:szCs w:val="16"/>
      </w:rPr>
      <w:t xml:space="preserve"> </w:t>
    </w:r>
    <w:r>
      <w:rPr>
        <w:rFonts w:ascii="Times New Roman" w:hAnsi="Times New Roman"/>
        <w:w w:val="99"/>
        <w:sz w:val="16"/>
        <w:szCs w:val="16"/>
      </w:rPr>
      <w:t>Education.</w:t>
    </w:r>
  </w:p>
  <w:p w:rsidR="00E24F00" w:rsidRPr="00F14EFE" w:rsidRDefault="00E24F00" w:rsidP="00F14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FE" w:rsidRDefault="00F14EFE" w:rsidP="00F14EFE">
    <w:pPr>
      <w:spacing w:before="8"/>
      <w:ind w:left="-12" w:right="-32"/>
      <w:jc w:val="center"/>
      <w:rPr>
        <w:rFonts w:ascii="Times New Roman" w:hAnsi="Times New Roman"/>
        <w:sz w:val="16"/>
        <w:szCs w:val="16"/>
      </w:rPr>
    </w:pPr>
    <w:r>
      <w:rPr>
        <w:rFonts w:ascii="Times New Roman" w:hAnsi="Times New Roman"/>
        <w:sz w:val="16"/>
        <w:szCs w:val="16"/>
      </w:rPr>
      <w:t>Copyright</w:t>
    </w:r>
    <w:r>
      <w:rPr>
        <w:rFonts w:ascii="Times New Roman" w:hAnsi="Times New Roman"/>
        <w:spacing w:val="-6"/>
        <w:sz w:val="16"/>
        <w:szCs w:val="16"/>
      </w:rPr>
      <w:t xml:space="preserve"> </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z w:val="16"/>
        <w:szCs w:val="16"/>
      </w:rPr>
      <w:t>2018 McGraw-Hill</w:t>
    </w:r>
    <w:r>
      <w:rPr>
        <w:rFonts w:ascii="Times New Roman" w:hAnsi="Times New Roman"/>
        <w:spacing w:val="-9"/>
        <w:sz w:val="16"/>
        <w:szCs w:val="16"/>
      </w:rPr>
      <w:t xml:space="preserve"> </w:t>
    </w:r>
    <w:r>
      <w:rPr>
        <w:rFonts w:ascii="Times New Roman" w:hAnsi="Times New Roman"/>
        <w:sz w:val="16"/>
        <w:szCs w:val="16"/>
      </w:rPr>
      <w:t>Education.</w:t>
    </w:r>
    <w:r>
      <w:rPr>
        <w:rFonts w:ascii="Times New Roman" w:hAnsi="Times New Roman"/>
        <w:spacing w:val="-7"/>
        <w:sz w:val="16"/>
        <w:szCs w:val="16"/>
      </w:rPr>
      <w:t xml:space="preserve"> </w:t>
    </w:r>
    <w:r>
      <w:rPr>
        <w:rFonts w:ascii="Times New Roman" w:hAnsi="Times New Roman"/>
        <w:sz w:val="16"/>
        <w:szCs w:val="16"/>
      </w:rPr>
      <w:t>All</w:t>
    </w:r>
    <w:r>
      <w:rPr>
        <w:rFonts w:ascii="Times New Roman" w:hAnsi="Times New Roman"/>
        <w:spacing w:val="-2"/>
        <w:sz w:val="16"/>
        <w:szCs w:val="16"/>
      </w:rPr>
      <w:t xml:space="preserve"> </w:t>
    </w:r>
    <w:r>
      <w:rPr>
        <w:rFonts w:ascii="Times New Roman" w:hAnsi="Times New Roman"/>
        <w:sz w:val="16"/>
        <w:szCs w:val="16"/>
      </w:rPr>
      <w:t>rights</w:t>
    </w:r>
    <w:r>
      <w:rPr>
        <w:rFonts w:ascii="Times New Roman" w:hAnsi="Times New Roman"/>
        <w:spacing w:val="-4"/>
        <w:sz w:val="16"/>
        <w:szCs w:val="16"/>
      </w:rPr>
      <w:t xml:space="preserve"> </w:t>
    </w:r>
    <w:r>
      <w:rPr>
        <w:rFonts w:ascii="Times New Roman" w:hAnsi="Times New Roman"/>
        <w:sz w:val="16"/>
        <w:szCs w:val="16"/>
      </w:rPr>
      <w:t>reserved.</w:t>
    </w:r>
    <w:r>
      <w:rPr>
        <w:rFonts w:ascii="Times New Roman" w:hAnsi="Times New Roman"/>
        <w:spacing w:val="-6"/>
        <w:sz w:val="16"/>
        <w:szCs w:val="16"/>
      </w:rPr>
      <w:t xml:space="preserve"> </w:t>
    </w:r>
    <w:r>
      <w:rPr>
        <w:rFonts w:ascii="Times New Roman" w:hAnsi="Times New Roman"/>
        <w:sz w:val="16"/>
        <w:szCs w:val="16"/>
      </w:rPr>
      <w:t>No reproduction</w:t>
    </w:r>
    <w:r>
      <w:rPr>
        <w:rFonts w:ascii="Times New Roman" w:hAnsi="Times New Roman"/>
        <w:spacing w:val="-8"/>
        <w:sz w:val="16"/>
        <w:szCs w:val="16"/>
      </w:rPr>
      <w:t xml:space="preserve"> </w:t>
    </w:r>
    <w:r>
      <w:rPr>
        <w:rFonts w:ascii="Times New Roman" w:hAnsi="Times New Roman"/>
        <w:sz w:val="16"/>
        <w:szCs w:val="16"/>
      </w:rPr>
      <w:t>or distribution</w:t>
    </w:r>
    <w:r>
      <w:rPr>
        <w:rFonts w:ascii="Times New Roman" w:hAnsi="Times New Roman"/>
        <w:spacing w:val="-7"/>
        <w:sz w:val="16"/>
        <w:szCs w:val="16"/>
      </w:rPr>
      <w:t xml:space="preserve"> </w:t>
    </w:r>
    <w:r>
      <w:rPr>
        <w:rFonts w:ascii="Times New Roman" w:hAnsi="Times New Roman"/>
        <w:sz w:val="16"/>
        <w:szCs w:val="16"/>
      </w:rPr>
      <w:t>without</w:t>
    </w:r>
    <w:r>
      <w:rPr>
        <w:rFonts w:ascii="Times New Roman" w:hAnsi="Times New Roman"/>
        <w:spacing w:val="-5"/>
        <w:sz w:val="16"/>
        <w:szCs w:val="16"/>
      </w:rPr>
      <w:t xml:space="preserve"> </w:t>
    </w:r>
    <w:r>
      <w:rPr>
        <w:rFonts w:ascii="Times New Roman" w:hAnsi="Times New Roman"/>
        <w:sz w:val="16"/>
        <w:szCs w:val="16"/>
      </w:rPr>
      <w:t>the</w:t>
    </w:r>
    <w:r>
      <w:rPr>
        <w:rFonts w:ascii="Times New Roman" w:hAnsi="Times New Roman"/>
        <w:spacing w:val="-2"/>
        <w:sz w:val="16"/>
        <w:szCs w:val="16"/>
      </w:rPr>
      <w:t xml:space="preserve"> </w:t>
    </w:r>
    <w:r>
      <w:rPr>
        <w:rFonts w:ascii="Times New Roman" w:hAnsi="Times New Roman"/>
        <w:sz w:val="16"/>
        <w:szCs w:val="16"/>
      </w:rPr>
      <w:t>prior</w:t>
    </w:r>
    <w:r>
      <w:rPr>
        <w:rFonts w:ascii="Times New Roman" w:hAnsi="Times New Roman"/>
        <w:spacing w:val="-3"/>
        <w:sz w:val="16"/>
        <w:szCs w:val="16"/>
      </w:rPr>
      <w:t xml:space="preserve"> </w:t>
    </w:r>
    <w:r>
      <w:rPr>
        <w:rFonts w:ascii="Times New Roman" w:hAnsi="Times New Roman"/>
        <w:sz w:val="16"/>
        <w:szCs w:val="16"/>
      </w:rPr>
      <w:t>written</w:t>
    </w:r>
    <w:r>
      <w:rPr>
        <w:rFonts w:ascii="Times New Roman" w:hAnsi="Times New Roman"/>
        <w:spacing w:val="-5"/>
        <w:sz w:val="16"/>
        <w:szCs w:val="16"/>
      </w:rPr>
      <w:t xml:space="preserve"> </w:t>
    </w:r>
    <w:r>
      <w:rPr>
        <w:rFonts w:ascii="Times New Roman" w:hAnsi="Times New Roman"/>
        <w:sz w:val="16"/>
        <w:szCs w:val="16"/>
      </w:rPr>
      <w:t>consent</w:t>
    </w:r>
    <w:r>
      <w:rPr>
        <w:rFonts w:ascii="Times New Roman" w:hAnsi="Times New Roman"/>
        <w:spacing w:val="-5"/>
        <w:sz w:val="16"/>
        <w:szCs w:val="16"/>
      </w:rPr>
      <w:t xml:space="preserve"> </w:t>
    </w:r>
    <w:r>
      <w:rPr>
        <w:rFonts w:ascii="Times New Roman" w:hAnsi="Times New Roman"/>
        <w:sz w:val="16"/>
        <w:szCs w:val="16"/>
      </w:rPr>
      <w:t>of McGraw-Hill</w:t>
    </w:r>
    <w:r>
      <w:rPr>
        <w:rFonts w:ascii="Times New Roman" w:hAnsi="Times New Roman"/>
        <w:spacing w:val="-9"/>
        <w:sz w:val="16"/>
        <w:szCs w:val="16"/>
      </w:rPr>
      <w:t xml:space="preserve"> </w:t>
    </w:r>
    <w:r>
      <w:rPr>
        <w:rFonts w:ascii="Times New Roman" w:hAnsi="Times New Roman"/>
        <w:w w:val="99"/>
        <w:sz w:val="16"/>
        <w:szCs w:val="16"/>
      </w:rPr>
      <w:t>Education.</w:t>
    </w:r>
  </w:p>
  <w:p w:rsidR="00E24F00" w:rsidRDefault="00E24F00">
    <w:pPr>
      <w:pStyle w:val="Footer"/>
      <w:ind w:right="36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FE" w:rsidRDefault="00F14EFE" w:rsidP="00F14EFE">
    <w:pPr>
      <w:spacing w:before="8"/>
      <w:ind w:left="-12" w:right="-32"/>
      <w:jc w:val="center"/>
      <w:rPr>
        <w:rFonts w:ascii="Times New Roman" w:hAnsi="Times New Roman"/>
        <w:sz w:val="16"/>
        <w:szCs w:val="16"/>
      </w:rPr>
    </w:pPr>
    <w:r>
      <w:rPr>
        <w:rFonts w:ascii="Times New Roman" w:hAnsi="Times New Roman"/>
        <w:sz w:val="16"/>
        <w:szCs w:val="16"/>
      </w:rPr>
      <w:t>Copyright</w:t>
    </w:r>
    <w:r>
      <w:rPr>
        <w:rFonts w:ascii="Times New Roman" w:hAnsi="Times New Roman"/>
        <w:spacing w:val="-6"/>
        <w:sz w:val="16"/>
        <w:szCs w:val="16"/>
      </w:rPr>
      <w:t xml:space="preserve"> </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z w:val="16"/>
        <w:szCs w:val="16"/>
      </w:rPr>
      <w:t>2018 McGraw-Hill</w:t>
    </w:r>
    <w:r>
      <w:rPr>
        <w:rFonts w:ascii="Times New Roman" w:hAnsi="Times New Roman"/>
        <w:spacing w:val="-9"/>
        <w:sz w:val="16"/>
        <w:szCs w:val="16"/>
      </w:rPr>
      <w:t xml:space="preserve"> </w:t>
    </w:r>
    <w:r>
      <w:rPr>
        <w:rFonts w:ascii="Times New Roman" w:hAnsi="Times New Roman"/>
        <w:sz w:val="16"/>
        <w:szCs w:val="16"/>
      </w:rPr>
      <w:t>Education.</w:t>
    </w:r>
    <w:r>
      <w:rPr>
        <w:rFonts w:ascii="Times New Roman" w:hAnsi="Times New Roman"/>
        <w:spacing w:val="-7"/>
        <w:sz w:val="16"/>
        <w:szCs w:val="16"/>
      </w:rPr>
      <w:t xml:space="preserve"> </w:t>
    </w:r>
    <w:r>
      <w:rPr>
        <w:rFonts w:ascii="Times New Roman" w:hAnsi="Times New Roman"/>
        <w:sz w:val="16"/>
        <w:szCs w:val="16"/>
      </w:rPr>
      <w:t>All</w:t>
    </w:r>
    <w:r>
      <w:rPr>
        <w:rFonts w:ascii="Times New Roman" w:hAnsi="Times New Roman"/>
        <w:spacing w:val="-2"/>
        <w:sz w:val="16"/>
        <w:szCs w:val="16"/>
      </w:rPr>
      <w:t xml:space="preserve"> </w:t>
    </w:r>
    <w:r>
      <w:rPr>
        <w:rFonts w:ascii="Times New Roman" w:hAnsi="Times New Roman"/>
        <w:sz w:val="16"/>
        <w:szCs w:val="16"/>
      </w:rPr>
      <w:t>rights</w:t>
    </w:r>
    <w:r>
      <w:rPr>
        <w:rFonts w:ascii="Times New Roman" w:hAnsi="Times New Roman"/>
        <w:spacing w:val="-4"/>
        <w:sz w:val="16"/>
        <w:szCs w:val="16"/>
      </w:rPr>
      <w:t xml:space="preserve"> </w:t>
    </w:r>
    <w:r>
      <w:rPr>
        <w:rFonts w:ascii="Times New Roman" w:hAnsi="Times New Roman"/>
        <w:sz w:val="16"/>
        <w:szCs w:val="16"/>
      </w:rPr>
      <w:t>reserved.</w:t>
    </w:r>
    <w:r>
      <w:rPr>
        <w:rFonts w:ascii="Times New Roman" w:hAnsi="Times New Roman"/>
        <w:spacing w:val="-6"/>
        <w:sz w:val="16"/>
        <w:szCs w:val="16"/>
      </w:rPr>
      <w:t xml:space="preserve"> </w:t>
    </w:r>
    <w:r>
      <w:rPr>
        <w:rFonts w:ascii="Times New Roman" w:hAnsi="Times New Roman"/>
        <w:sz w:val="16"/>
        <w:szCs w:val="16"/>
      </w:rPr>
      <w:t>No reproduction</w:t>
    </w:r>
    <w:r>
      <w:rPr>
        <w:rFonts w:ascii="Times New Roman" w:hAnsi="Times New Roman"/>
        <w:spacing w:val="-8"/>
        <w:sz w:val="16"/>
        <w:szCs w:val="16"/>
      </w:rPr>
      <w:t xml:space="preserve"> </w:t>
    </w:r>
    <w:r>
      <w:rPr>
        <w:rFonts w:ascii="Times New Roman" w:hAnsi="Times New Roman"/>
        <w:sz w:val="16"/>
        <w:szCs w:val="16"/>
      </w:rPr>
      <w:t>or distribution</w:t>
    </w:r>
    <w:r>
      <w:rPr>
        <w:rFonts w:ascii="Times New Roman" w:hAnsi="Times New Roman"/>
        <w:spacing w:val="-7"/>
        <w:sz w:val="16"/>
        <w:szCs w:val="16"/>
      </w:rPr>
      <w:t xml:space="preserve"> </w:t>
    </w:r>
    <w:r>
      <w:rPr>
        <w:rFonts w:ascii="Times New Roman" w:hAnsi="Times New Roman"/>
        <w:sz w:val="16"/>
        <w:szCs w:val="16"/>
      </w:rPr>
      <w:t>without</w:t>
    </w:r>
    <w:r>
      <w:rPr>
        <w:rFonts w:ascii="Times New Roman" w:hAnsi="Times New Roman"/>
        <w:spacing w:val="-5"/>
        <w:sz w:val="16"/>
        <w:szCs w:val="16"/>
      </w:rPr>
      <w:t xml:space="preserve"> </w:t>
    </w:r>
    <w:r>
      <w:rPr>
        <w:rFonts w:ascii="Times New Roman" w:hAnsi="Times New Roman"/>
        <w:sz w:val="16"/>
        <w:szCs w:val="16"/>
      </w:rPr>
      <w:t>the</w:t>
    </w:r>
    <w:r>
      <w:rPr>
        <w:rFonts w:ascii="Times New Roman" w:hAnsi="Times New Roman"/>
        <w:spacing w:val="-2"/>
        <w:sz w:val="16"/>
        <w:szCs w:val="16"/>
      </w:rPr>
      <w:t xml:space="preserve"> </w:t>
    </w:r>
    <w:r>
      <w:rPr>
        <w:rFonts w:ascii="Times New Roman" w:hAnsi="Times New Roman"/>
        <w:sz w:val="16"/>
        <w:szCs w:val="16"/>
      </w:rPr>
      <w:t>prior</w:t>
    </w:r>
    <w:r>
      <w:rPr>
        <w:rFonts w:ascii="Times New Roman" w:hAnsi="Times New Roman"/>
        <w:spacing w:val="-3"/>
        <w:sz w:val="16"/>
        <w:szCs w:val="16"/>
      </w:rPr>
      <w:t xml:space="preserve"> </w:t>
    </w:r>
    <w:r>
      <w:rPr>
        <w:rFonts w:ascii="Times New Roman" w:hAnsi="Times New Roman"/>
        <w:sz w:val="16"/>
        <w:szCs w:val="16"/>
      </w:rPr>
      <w:t>written</w:t>
    </w:r>
    <w:r>
      <w:rPr>
        <w:rFonts w:ascii="Times New Roman" w:hAnsi="Times New Roman"/>
        <w:spacing w:val="-5"/>
        <w:sz w:val="16"/>
        <w:szCs w:val="16"/>
      </w:rPr>
      <w:t xml:space="preserve"> </w:t>
    </w:r>
    <w:r>
      <w:rPr>
        <w:rFonts w:ascii="Times New Roman" w:hAnsi="Times New Roman"/>
        <w:sz w:val="16"/>
        <w:szCs w:val="16"/>
      </w:rPr>
      <w:t>consent</w:t>
    </w:r>
    <w:r>
      <w:rPr>
        <w:rFonts w:ascii="Times New Roman" w:hAnsi="Times New Roman"/>
        <w:spacing w:val="-5"/>
        <w:sz w:val="16"/>
        <w:szCs w:val="16"/>
      </w:rPr>
      <w:t xml:space="preserve"> </w:t>
    </w:r>
    <w:r>
      <w:rPr>
        <w:rFonts w:ascii="Times New Roman" w:hAnsi="Times New Roman"/>
        <w:sz w:val="16"/>
        <w:szCs w:val="16"/>
      </w:rPr>
      <w:t>of McGraw-Hill</w:t>
    </w:r>
    <w:r>
      <w:rPr>
        <w:rFonts w:ascii="Times New Roman" w:hAnsi="Times New Roman"/>
        <w:spacing w:val="-9"/>
        <w:sz w:val="16"/>
        <w:szCs w:val="16"/>
      </w:rPr>
      <w:t xml:space="preserve"> </w:t>
    </w:r>
    <w:r>
      <w:rPr>
        <w:rFonts w:ascii="Times New Roman" w:hAnsi="Times New Roman"/>
        <w:w w:val="99"/>
        <w:sz w:val="16"/>
        <w:szCs w:val="16"/>
      </w:rPr>
      <w:t>Education.</w:t>
    </w:r>
  </w:p>
  <w:p w:rsidR="00F14EFE" w:rsidRDefault="00F14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37" w:rsidRDefault="00922437">
      <w:r>
        <w:separator/>
      </w:r>
    </w:p>
  </w:footnote>
  <w:footnote w:type="continuationSeparator" w:id="0">
    <w:p w:rsidR="00922437" w:rsidRDefault="00922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00" w:rsidRDefault="00C65D88">
    <w:pPr>
      <w:pStyle w:val="Header"/>
      <w:tabs>
        <w:tab w:val="left" w:pos="720"/>
      </w:tabs>
    </w:pPr>
    <w:r>
      <w:t>1</w:t>
    </w:r>
    <w:r w:rsidR="00E24F00">
      <w:t>-</w:t>
    </w:r>
    <w:r w:rsidR="00E24F00">
      <w:rPr>
        <w:rStyle w:val="PageNumber"/>
      </w:rPr>
      <w:fldChar w:fldCharType="begin"/>
    </w:r>
    <w:r w:rsidR="00E24F00">
      <w:rPr>
        <w:rStyle w:val="PageNumber"/>
      </w:rPr>
      <w:instrText xml:space="preserve"> PAGE </w:instrText>
    </w:r>
    <w:r w:rsidR="00E24F00">
      <w:rPr>
        <w:rStyle w:val="PageNumber"/>
      </w:rPr>
      <w:fldChar w:fldCharType="separate"/>
    </w:r>
    <w:r w:rsidR="00F14EFE">
      <w:rPr>
        <w:rStyle w:val="PageNumber"/>
        <w:noProof/>
      </w:rPr>
      <w:t>2</w:t>
    </w:r>
    <w:r w:rsidR="00E24F00">
      <w:rPr>
        <w:rStyle w:val="PageNumber"/>
      </w:rPr>
      <w:fldChar w:fldCharType="end"/>
    </w:r>
    <w:r w:rsidR="00E24F00">
      <w:rPr>
        <w:rStyle w:val="PageNumber"/>
      </w:rPr>
      <w:tab/>
      <w:t>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00" w:rsidRDefault="00E24F00">
    <w:pPr>
      <w:pStyle w:val="Header"/>
      <w:tabs>
        <w:tab w:val="left" w:pos="0"/>
        <w:tab w:val="right" w:pos="7920"/>
      </w:tabs>
    </w:pPr>
    <w:r>
      <w:rPr>
        <w:rStyle w:val="PageNumber"/>
      </w:rPr>
      <w:tab/>
    </w:r>
    <w:r>
      <w:rPr>
        <w:rStyle w:val="PageNumber"/>
      </w:rPr>
      <w:tab/>
    </w:r>
    <w:r>
      <w:t xml:space="preserve">A Brief History of Risk </w:t>
    </w:r>
    <w:r w:rsidR="00D93EE5">
      <w:t>and</w:t>
    </w:r>
    <w:r>
      <w:t xml:space="preserve"> Return</w:t>
    </w:r>
    <w:r w:rsidR="00C65D88">
      <w:rPr>
        <w:rStyle w:val="PageNumber"/>
      </w:rPr>
      <w:tab/>
      <w:t>1</w:t>
    </w:r>
    <w:r>
      <w:rPr>
        <w:rStyle w:val="PageNumber"/>
      </w:rPr>
      <w:t>-</w:t>
    </w:r>
    <w:r>
      <w:rPr>
        <w:rStyle w:val="PageNumber"/>
      </w:rPr>
      <w:fldChar w:fldCharType="begin"/>
    </w:r>
    <w:r>
      <w:rPr>
        <w:rStyle w:val="PageNumber"/>
      </w:rPr>
      <w:instrText xml:space="preserve"> PAGE </w:instrText>
    </w:r>
    <w:r>
      <w:rPr>
        <w:rStyle w:val="PageNumber"/>
      </w:rPr>
      <w:fldChar w:fldCharType="separate"/>
    </w:r>
    <w:r w:rsidR="00F14EFE">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FE" w:rsidRDefault="00F14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93D02"/>
    <w:multiLevelType w:val="singleLevel"/>
    <w:tmpl w:val="557265E4"/>
    <w:lvl w:ilvl="0">
      <w:start w:val="1"/>
      <w:numFmt w:val="upperLetter"/>
      <w:lvlText w:val="%1."/>
      <w:lvlJc w:val="left"/>
      <w:pPr>
        <w:tabs>
          <w:tab w:val="num" w:pos="720"/>
        </w:tabs>
        <w:ind w:left="720" w:hanging="720"/>
      </w:pPr>
      <w:rPr>
        <w:rFonts w:hint="default"/>
      </w:rPr>
    </w:lvl>
  </w:abstractNum>
  <w:abstractNum w:abstractNumId="2">
    <w:nsid w:val="019C6E15"/>
    <w:multiLevelType w:val="singleLevel"/>
    <w:tmpl w:val="E7006E82"/>
    <w:lvl w:ilvl="0">
      <w:start w:val="1"/>
      <w:numFmt w:val="upperLetter"/>
      <w:lvlText w:val="%1."/>
      <w:lvlJc w:val="left"/>
      <w:pPr>
        <w:tabs>
          <w:tab w:val="num" w:pos="720"/>
        </w:tabs>
        <w:ind w:left="720" w:hanging="720"/>
      </w:pPr>
      <w:rPr>
        <w:rFonts w:hint="default"/>
      </w:rPr>
    </w:lvl>
  </w:abstractNum>
  <w:abstractNum w:abstractNumId="3">
    <w:nsid w:val="0A7D06A3"/>
    <w:multiLevelType w:val="singleLevel"/>
    <w:tmpl w:val="89727EFC"/>
    <w:lvl w:ilvl="0">
      <w:start w:val="1"/>
      <w:numFmt w:val="upperLetter"/>
      <w:lvlText w:val="%1."/>
      <w:lvlJc w:val="left"/>
      <w:pPr>
        <w:tabs>
          <w:tab w:val="num" w:pos="720"/>
        </w:tabs>
        <w:ind w:left="720" w:hanging="720"/>
      </w:pPr>
      <w:rPr>
        <w:rFonts w:ascii="Arial" w:hAnsi="Arial" w:hint="default"/>
        <w:b/>
        <w:i w:val="0"/>
      </w:rPr>
    </w:lvl>
  </w:abstractNum>
  <w:abstractNum w:abstractNumId="4">
    <w:nsid w:val="0DC44AF2"/>
    <w:multiLevelType w:val="multilevel"/>
    <w:tmpl w:val="F5ECFBC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01AA8"/>
    <w:multiLevelType w:val="multilevel"/>
    <w:tmpl w:val="DFAA1AD6"/>
    <w:lvl w:ilvl="0">
      <w:start w:val="1"/>
      <w:numFmt w:val="decimal"/>
      <w:lvlText w:val="1-%1"/>
      <w:lvlJc w:val="left"/>
      <w:pPr>
        <w:tabs>
          <w:tab w:val="num" w:pos="1224"/>
        </w:tabs>
        <w:ind w:left="1224" w:hanging="1080"/>
      </w:pPr>
      <w:rPr>
        <w:rFonts w:hint="default"/>
        <w:b/>
        <w:i w:val="0"/>
        <w:sz w:val="24"/>
      </w:rPr>
    </w:lvl>
    <w:lvl w:ilvl="1">
      <w:start w:val="4"/>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1CB4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7A427DA"/>
    <w:multiLevelType w:val="multilevel"/>
    <w:tmpl w:val="07E64B7E"/>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BD6190"/>
    <w:multiLevelType w:val="multilevel"/>
    <w:tmpl w:val="9CB66788"/>
    <w:lvl w:ilvl="0">
      <w:start w:val="3"/>
      <w:numFmt w:val="decimal"/>
      <w:lvlText w:val="%1.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3F691D"/>
    <w:multiLevelType w:val="multilevel"/>
    <w:tmpl w:val="424020E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7A47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44A6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615B8E"/>
    <w:multiLevelType w:val="multilevel"/>
    <w:tmpl w:val="B0DC5A2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74F2E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7E237CC"/>
    <w:multiLevelType w:val="singleLevel"/>
    <w:tmpl w:val="A4C830A4"/>
    <w:lvl w:ilvl="0">
      <w:start w:val="1"/>
      <w:numFmt w:val="upperLetter"/>
      <w:lvlText w:val="%1."/>
      <w:lvlJc w:val="left"/>
      <w:pPr>
        <w:tabs>
          <w:tab w:val="num" w:pos="720"/>
        </w:tabs>
        <w:ind w:left="720" w:hanging="720"/>
      </w:pPr>
      <w:rPr>
        <w:rFonts w:hint="default"/>
      </w:rPr>
    </w:lvl>
  </w:abstractNum>
  <w:abstractNum w:abstractNumId="15">
    <w:nsid w:val="2BEB1456"/>
    <w:multiLevelType w:val="multilevel"/>
    <w:tmpl w:val="5A4CA2A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C2B1C9D"/>
    <w:multiLevelType w:val="hybridMultilevel"/>
    <w:tmpl w:val="E1760962"/>
    <w:lvl w:ilvl="0" w:tplc="ADFE9C50">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ED2B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FA3AD3"/>
    <w:multiLevelType w:val="multilevel"/>
    <w:tmpl w:val="3682836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C83E51"/>
    <w:multiLevelType w:val="singleLevel"/>
    <w:tmpl w:val="A4C830A4"/>
    <w:lvl w:ilvl="0">
      <w:start w:val="1"/>
      <w:numFmt w:val="upperLetter"/>
      <w:lvlText w:val="%1."/>
      <w:lvlJc w:val="left"/>
      <w:pPr>
        <w:tabs>
          <w:tab w:val="num" w:pos="720"/>
        </w:tabs>
        <w:ind w:left="720" w:hanging="720"/>
      </w:pPr>
      <w:rPr>
        <w:rFonts w:hint="default"/>
      </w:rPr>
    </w:lvl>
  </w:abstractNum>
  <w:abstractNum w:abstractNumId="20">
    <w:nsid w:val="3CD20972"/>
    <w:multiLevelType w:val="multilevel"/>
    <w:tmpl w:val="BBB0C0CE"/>
    <w:lvl w:ilvl="0">
      <w:start w:val="1"/>
      <w:numFmt w:val="decimal"/>
      <w:lvlText w:val="1.%1"/>
      <w:lvlJc w:val="left"/>
      <w:pPr>
        <w:tabs>
          <w:tab w:val="num" w:pos="720"/>
        </w:tabs>
        <w:ind w:left="720" w:hanging="720"/>
      </w:pPr>
      <w:rPr>
        <w:sz w:val="24"/>
      </w:rPr>
    </w:lvl>
    <w:lvl w:ilvl="1">
      <w:start w:val="1"/>
      <w:numFmt w:val="none"/>
      <w:lvlText w:val=""/>
      <w:lvlJc w:val="left"/>
      <w:pPr>
        <w:tabs>
          <w:tab w:val="num" w:pos="1440"/>
        </w:tabs>
        <w:ind w:left="1440" w:hanging="1440"/>
      </w:pPr>
      <w:rPr>
        <w:rFonts w:hint="default"/>
      </w:rPr>
    </w:lvl>
    <w:lvl w:ilvl="2">
      <w:start w:val="1"/>
      <w:numFmt w:val="none"/>
      <w:lvlText w:val="3.1"/>
      <w:lvlJc w:val="left"/>
      <w:pPr>
        <w:tabs>
          <w:tab w:val="num" w:pos="1440"/>
        </w:tabs>
        <w:ind w:left="1440" w:hanging="1440"/>
      </w:pPr>
      <w:rPr>
        <w:rFonts w:hint="default"/>
      </w:rPr>
    </w:lvl>
    <w:lvl w:ilvl="3">
      <w:start w:val="1"/>
      <w:numFmt w:val="none"/>
      <w:lvlText w:val=""/>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A903A1F"/>
    <w:multiLevelType w:val="singleLevel"/>
    <w:tmpl w:val="FB7EB03E"/>
    <w:lvl w:ilvl="0">
      <w:start w:val="1"/>
      <w:numFmt w:val="upperLetter"/>
      <w:lvlText w:val="%1."/>
      <w:lvlJc w:val="left"/>
      <w:pPr>
        <w:tabs>
          <w:tab w:val="num" w:pos="720"/>
        </w:tabs>
        <w:ind w:left="720" w:hanging="720"/>
      </w:pPr>
      <w:rPr>
        <w:rFonts w:hint="default"/>
      </w:rPr>
    </w:lvl>
  </w:abstractNum>
  <w:abstractNum w:abstractNumId="22">
    <w:nsid w:val="4AFB30BB"/>
    <w:multiLevelType w:val="multilevel"/>
    <w:tmpl w:val="54DCCBC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5FF5B7F"/>
    <w:multiLevelType w:val="multilevel"/>
    <w:tmpl w:val="F684E048"/>
    <w:lvl w:ilvl="0">
      <w:start w:val="1"/>
      <w:numFmt w:val="decimal"/>
      <w:lvlText w:val="3.%1"/>
      <w:lvlJc w:val="left"/>
      <w:pPr>
        <w:tabs>
          <w:tab w:val="num" w:pos="720"/>
        </w:tabs>
        <w:ind w:left="720" w:hanging="720"/>
      </w:pPr>
      <w:rPr>
        <w:sz w:val="24"/>
      </w:rPr>
    </w:lvl>
    <w:lvl w:ilvl="1">
      <w:start w:val="1"/>
      <w:numFmt w:val="none"/>
      <w:lvlText w:val=""/>
      <w:lvlJc w:val="left"/>
      <w:pPr>
        <w:tabs>
          <w:tab w:val="num" w:pos="1440"/>
        </w:tabs>
        <w:ind w:left="1440" w:hanging="1440"/>
      </w:pPr>
      <w:rPr>
        <w:rFonts w:hint="default"/>
      </w:rPr>
    </w:lvl>
    <w:lvl w:ilvl="2">
      <w:start w:val="1"/>
      <w:numFmt w:val="none"/>
      <w:lvlText w:val="3.1"/>
      <w:lvlJc w:val="left"/>
      <w:pPr>
        <w:tabs>
          <w:tab w:val="num" w:pos="1440"/>
        </w:tabs>
        <w:ind w:left="1440" w:hanging="1440"/>
      </w:pPr>
      <w:rPr>
        <w:rFonts w:hint="default"/>
      </w:rPr>
    </w:lvl>
    <w:lvl w:ilvl="3">
      <w:start w:val="1"/>
      <w:numFmt w:val="none"/>
      <w:lvlText w:val=""/>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71469E7"/>
    <w:multiLevelType w:val="singleLevel"/>
    <w:tmpl w:val="1018EB34"/>
    <w:lvl w:ilvl="0">
      <w:start w:val="1"/>
      <w:numFmt w:val="upperLetter"/>
      <w:lvlText w:val="%1."/>
      <w:lvlJc w:val="left"/>
      <w:pPr>
        <w:tabs>
          <w:tab w:val="num" w:pos="720"/>
        </w:tabs>
        <w:ind w:left="720" w:hanging="720"/>
      </w:pPr>
      <w:rPr>
        <w:rFonts w:hint="default"/>
      </w:rPr>
    </w:lvl>
  </w:abstractNum>
  <w:abstractNum w:abstractNumId="25">
    <w:nsid w:val="587F54BD"/>
    <w:multiLevelType w:val="hybridMultilevel"/>
    <w:tmpl w:val="15E2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534D5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B8849EC"/>
    <w:multiLevelType w:val="multilevel"/>
    <w:tmpl w:val="39389D72"/>
    <w:lvl w:ilvl="0">
      <w:start w:val="1"/>
      <w:numFmt w:val="decimal"/>
      <w:lvlText w:val="1.%1"/>
      <w:lvlJc w:val="left"/>
      <w:pPr>
        <w:tabs>
          <w:tab w:val="num" w:pos="720"/>
        </w:tabs>
        <w:ind w:left="720" w:hanging="720"/>
      </w:pPr>
      <w:rPr>
        <w:sz w:val="24"/>
      </w:rPr>
    </w:lvl>
    <w:lvl w:ilvl="1">
      <w:start w:val="1"/>
      <w:numFmt w:val="upperLetter"/>
      <w:lvlText w:val="%2."/>
      <w:lvlJc w:val="left"/>
      <w:pPr>
        <w:tabs>
          <w:tab w:val="num" w:pos="720"/>
        </w:tabs>
        <w:ind w:left="720" w:hanging="720"/>
      </w:pPr>
      <w:rPr>
        <w:rFonts w:hint="default"/>
      </w:rPr>
    </w:lvl>
    <w:lvl w:ilvl="2">
      <w:start w:val="1"/>
      <w:numFmt w:val="upperLetter"/>
      <w:lvlText w:val="%3."/>
      <w:lvlJc w:val="left"/>
      <w:pPr>
        <w:tabs>
          <w:tab w:val="num" w:pos="1080"/>
        </w:tabs>
        <w:ind w:left="720" w:firstLine="0"/>
      </w:pPr>
      <w:rPr>
        <w:rFonts w:hint="default"/>
      </w:rPr>
    </w:lvl>
    <w:lvl w:ilvl="3">
      <w:start w:val="1"/>
      <w:numFmt w:val="none"/>
      <w:lvlText w:val=""/>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EE824D3"/>
    <w:multiLevelType w:val="singleLevel"/>
    <w:tmpl w:val="F8E0554E"/>
    <w:lvl w:ilvl="0">
      <w:start w:val="1"/>
      <w:numFmt w:val="upperLetter"/>
      <w:lvlText w:val="%1."/>
      <w:lvlJc w:val="left"/>
      <w:pPr>
        <w:tabs>
          <w:tab w:val="num" w:pos="720"/>
        </w:tabs>
        <w:ind w:left="720" w:hanging="720"/>
      </w:pPr>
      <w:rPr>
        <w:rFonts w:hint="default"/>
      </w:rPr>
    </w:lvl>
  </w:abstractNum>
  <w:abstractNum w:abstractNumId="29">
    <w:nsid w:val="644F7988"/>
    <w:multiLevelType w:val="multilevel"/>
    <w:tmpl w:val="F22E4F38"/>
    <w:lvl w:ilvl="0">
      <w:start w:val="1"/>
      <w:numFmt w:val="decimal"/>
      <w:lvlText w:val="%1.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6187E5D"/>
    <w:multiLevelType w:val="singleLevel"/>
    <w:tmpl w:val="A4C830A4"/>
    <w:lvl w:ilvl="0">
      <w:start w:val="1"/>
      <w:numFmt w:val="upperLetter"/>
      <w:lvlText w:val="%1."/>
      <w:lvlJc w:val="left"/>
      <w:pPr>
        <w:tabs>
          <w:tab w:val="num" w:pos="720"/>
        </w:tabs>
        <w:ind w:left="720" w:hanging="720"/>
      </w:pPr>
      <w:rPr>
        <w:rFonts w:hint="default"/>
      </w:rPr>
    </w:lvl>
  </w:abstractNum>
  <w:abstractNum w:abstractNumId="31">
    <w:nsid w:val="693D1A69"/>
    <w:multiLevelType w:val="multilevel"/>
    <w:tmpl w:val="E578BD84"/>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AF241D"/>
    <w:multiLevelType w:val="multilevel"/>
    <w:tmpl w:val="80A4B716"/>
    <w:lvl w:ilvl="0">
      <w:start w:val="1"/>
      <w:numFmt w:val="decimal"/>
      <w:lvlText w:val="3.%1"/>
      <w:lvlJc w:val="left"/>
      <w:pPr>
        <w:tabs>
          <w:tab w:val="num" w:pos="720"/>
        </w:tabs>
        <w:ind w:left="720" w:hanging="720"/>
      </w:pPr>
      <w:rPr>
        <w:rFonts w:hint="default"/>
      </w:rPr>
    </w:lvl>
    <w:lvl w:ilvl="1">
      <w:start w:val="1"/>
      <w:numFmt w:val="none"/>
      <w:lvlText w:val=""/>
      <w:lvlJc w:val="left"/>
      <w:pPr>
        <w:tabs>
          <w:tab w:val="num" w:pos="1440"/>
        </w:tabs>
        <w:ind w:left="1440" w:hanging="1440"/>
      </w:pPr>
      <w:rPr>
        <w:rFonts w:hint="default"/>
      </w:rPr>
    </w:lvl>
    <w:lvl w:ilvl="2">
      <w:start w:val="1"/>
      <w:numFmt w:val="none"/>
      <w:lvlText w:val="3.1"/>
      <w:lvlJc w:val="left"/>
      <w:pPr>
        <w:tabs>
          <w:tab w:val="num" w:pos="1440"/>
        </w:tabs>
        <w:ind w:left="1440" w:hanging="1440"/>
      </w:pPr>
      <w:rPr>
        <w:rFonts w:hint="default"/>
      </w:rPr>
    </w:lvl>
    <w:lvl w:ilvl="3">
      <w:start w:val="1"/>
      <w:numFmt w:val="none"/>
      <w:lvlText w:val=""/>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AE52B2B"/>
    <w:multiLevelType w:val="multilevel"/>
    <w:tmpl w:val="B0DC5A2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D7A2647"/>
    <w:multiLevelType w:val="singleLevel"/>
    <w:tmpl w:val="4404C192"/>
    <w:lvl w:ilvl="0">
      <w:start w:val="1"/>
      <w:numFmt w:val="decimal"/>
      <w:lvlText w:val="1-%1"/>
      <w:lvlJc w:val="left"/>
      <w:pPr>
        <w:tabs>
          <w:tab w:val="num" w:pos="1224"/>
        </w:tabs>
        <w:ind w:left="1224" w:hanging="1080"/>
      </w:pPr>
    </w:lvl>
  </w:abstractNum>
  <w:abstractNum w:abstractNumId="35">
    <w:nsid w:val="703912BE"/>
    <w:multiLevelType w:val="multilevel"/>
    <w:tmpl w:val="6C38433C"/>
    <w:lvl w:ilvl="0">
      <w:start w:val="2"/>
      <w:numFmt w:val="upperLetter"/>
      <w:lvlText w:val="%1."/>
      <w:lvlJc w:val="left"/>
      <w:pPr>
        <w:tabs>
          <w:tab w:val="num" w:pos="360"/>
        </w:tabs>
        <w:ind w:left="360" w:hanging="360"/>
      </w:pPr>
      <w:rPr>
        <w:rFonts w:hint="default"/>
      </w:rPr>
    </w:lvl>
    <w:lvl w:ilvl="1">
      <w:start w:val="1"/>
      <w:numFmt w:val="upperLetter"/>
      <w:lvlText w:val="%2."/>
      <w:lvlJc w:val="left"/>
      <w:pPr>
        <w:tabs>
          <w:tab w:val="num" w:pos="720"/>
        </w:tabs>
        <w:ind w:left="720" w:hanging="720"/>
      </w:pPr>
      <w:rPr>
        <w:rFonts w:hint="default"/>
      </w:rPr>
    </w:lvl>
    <w:lvl w:ilvl="2">
      <w:start w:val="1"/>
      <w:numFmt w:val="upperLetter"/>
      <w:lvlText w:val="%3."/>
      <w:lvlJc w:val="left"/>
      <w:pPr>
        <w:tabs>
          <w:tab w:val="num" w:pos="1080"/>
        </w:tabs>
        <w:ind w:left="720" w:firstLine="0"/>
      </w:pPr>
      <w:rPr>
        <w:rFonts w:hint="default"/>
      </w:rPr>
    </w:lvl>
    <w:lvl w:ilvl="3">
      <w:start w:val="1"/>
      <w:numFmt w:val="none"/>
      <w:lvlText w:val=""/>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4CB7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6206E57"/>
    <w:multiLevelType w:val="singleLevel"/>
    <w:tmpl w:val="786AFE42"/>
    <w:lvl w:ilvl="0">
      <w:start w:val="1"/>
      <w:numFmt w:val="upperLetter"/>
      <w:lvlText w:val="%1."/>
      <w:lvlJc w:val="left"/>
      <w:pPr>
        <w:tabs>
          <w:tab w:val="num" w:pos="720"/>
        </w:tabs>
        <w:ind w:left="720" w:hanging="720"/>
      </w:pPr>
    </w:lvl>
  </w:abstractNum>
  <w:num w:numId="1">
    <w:abstractNumId w:val="29"/>
  </w:num>
  <w:num w:numId="2">
    <w:abstractNumId w:val="15"/>
  </w:num>
  <w:num w:numId="3">
    <w:abstractNumId w:val="8"/>
  </w:num>
  <w:num w:numId="4">
    <w:abstractNumId w:val="32"/>
  </w:num>
  <w:num w:numId="5">
    <w:abstractNumId w:val="20"/>
  </w:num>
  <w:num w:numId="6">
    <w:abstractNumId w:val="23"/>
  </w:num>
  <w:num w:numId="7">
    <w:abstractNumId w:val="18"/>
  </w:num>
  <w:num w:numId="8">
    <w:abstractNumId w:val="24"/>
  </w:num>
  <w:num w:numId="9">
    <w:abstractNumId w:val="37"/>
  </w:num>
  <w:num w:numId="10">
    <w:abstractNumId w:val="2"/>
  </w:num>
  <w:num w:numId="11">
    <w:abstractNumId w:val="37"/>
  </w:num>
  <w:num w:numId="12">
    <w:abstractNumId w:val="3"/>
  </w:num>
  <w:num w:numId="13">
    <w:abstractNumId w:val="19"/>
  </w:num>
  <w:num w:numId="14">
    <w:abstractNumId w:val="30"/>
  </w:num>
  <w:num w:numId="15">
    <w:abstractNumId w:val="18"/>
  </w:num>
  <w:num w:numId="16">
    <w:abstractNumId w:val="26"/>
  </w:num>
  <w:num w:numId="17">
    <w:abstractNumId w:val="18"/>
  </w:num>
  <w:num w:numId="18">
    <w:abstractNumId w:val="11"/>
  </w:num>
  <w:num w:numId="19">
    <w:abstractNumId w:val="10"/>
  </w:num>
  <w:num w:numId="20">
    <w:abstractNumId w:val="13"/>
  </w:num>
  <w:num w:numId="21">
    <w:abstractNumId w:val="37"/>
  </w:num>
  <w:num w:numId="22">
    <w:abstractNumId w:val="36"/>
  </w:num>
  <w:num w:numId="23">
    <w:abstractNumId w:val="37"/>
  </w:num>
  <w:num w:numId="24">
    <w:abstractNumId w:val="17"/>
  </w:num>
  <w:num w:numId="25">
    <w:abstractNumId w:val="6"/>
  </w:num>
  <w:num w:numId="26">
    <w:abstractNumId w:val="4"/>
  </w:num>
  <w:num w:numId="27">
    <w:abstractNumId w:val="3"/>
  </w:num>
  <w:num w:numId="28">
    <w:abstractNumId w:val="3"/>
  </w:num>
  <w:num w:numId="29">
    <w:abstractNumId w:val="31"/>
  </w:num>
  <w:num w:numId="30">
    <w:abstractNumId w:val="27"/>
  </w:num>
  <w:num w:numId="31">
    <w:abstractNumId w:val="35"/>
  </w:num>
  <w:num w:numId="32">
    <w:abstractNumId w:val="34"/>
  </w:num>
  <w:num w:numId="33">
    <w:abstractNumId w:val="0"/>
    <w:lvlOverride w:ilvl="0">
      <w:lvl w:ilvl="0">
        <w:numFmt w:val="bullet"/>
        <w:lvlText w:val=""/>
        <w:legacy w:legacy="1" w:legacySpace="0" w:legacyIndent="0"/>
        <w:lvlJc w:val="left"/>
        <w:rPr>
          <w:rFonts w:ascii="Wingdings" w:hAnsi="Wingdings" w:hint="default"/>
          <w:sz w:val="32"/>
        </w:rPr>
      </w:lvl>
    </w:lvlOverride>
  </w:num>
  <w:num w:numId="34">
    <w:abstractNumId w:val="0"/>
    <w:lvlOverride w:ilvl="0">
      <w:lvl w:ilvl="0">
        <w:numFmt w:val="bullet"/>
        <w:lvlText w:val=""/>
        <w:legacy w:legacy="1" w:legacySpace="0" w:legacyIndent="0"/>
        <w:lvlJc w:val="left"/>
        <w:rPr>
          <w:rFonts w:ascii="Wingdings" w:hAnsi="Wingdings" w:hint="default"/>
          <w:sz w:val="17"/>
        </w:rPr>
      </w:lvl>
    </w:lvlOverride>
  </w:num>
  <w:num w:numId="35">
    <w:abstractNumId w:val="22"/>
  </w:num>
  <w:num w:numId="36">
    <w:abstractNumId w:val="0"/>
    <w:lvlOverride w:ilvl="0">
      <w:lvl w:ilvl="0">
        <w:numFmt w:val="bullet"/>
        <w:lvlText w:val=""/>
        <w:legacy w:legacy="1" w:legacySpace="0" w:legacyIndent="0"/>
        <w:lvlJc w:val="left"/>
        <w:rPr>
          <w:rFonts w:ascii="Webdings" w:hAnsi="Webdings" w:hint="default"/>
          <w:sz w:val="32"/>
        </w:rPr>
      </w:lvl>
    </w:lvlOverride>
  </w:num>
  <w:num w:numId="37">
    <w:abstractNumId w:val="0"/>
    <w:lvlOverride w:ilvl="0">
      <w:lvl w:ilvl="0">
        <w:numFmt w:val="bullet"/>
        <w:lvlText w:val=""/>
        <w:legacy w:legacy="1" w:legacySpace="0" w:legacyIndent="0"/>
        <w:lvlJc w:val="left"/>
        <w:rPr>
          <w:rFonts w:ascii="Webdings" w:hAnsi="Webdings" w:hint="default"/>
          <w:sz w:val="26"/>
        </w:rPr>
      </w:lvl>
    </w:lvlOverride>
  </w:num>
  <w:num w:numId="38">
    <w:abstractNumId w:val="5"/>
  </w:num>
  <w:num w:numId="39">
    <w:abstractNumId w:val="16"/>
  </w:num>
  <w:num w:numId="40">
    <w:abstractNumId w:val="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B6"/>
    <w:rsid w:val="000262CC"/>
    <w:rsid w:val="000370B6"/>
    <w:rsid w:val="00062ED3"/>
    <w:rsid w:val="00084AEE"/>
    <w:rsid w:val="0009641E"/>
    <w:rsid w:val="000D7891"/>
    <w:rsid w:val="001611FC"/>
    <w:rsid w:val="00167727"/>
    <w:rsid w:val="00197656"/>
    <w:rsid w:val="00197B67"/>
    <w:rsid w:val="0024190D"/>
    <w:rsid w:val="00256641"/>
    <w:rsid w:val="00281728"/>
    <w:rsid w:val="00303E89"/>
    <w:rsid w:val="0033708D"/>
    <w:rsid w:val="0035704A"/>
    <w:rsid w:val="004C7667"/>
    <w:rsid w:val="004E3114"/>
    <w:rsid w:val="004F6D67"/>
    <w:rsid w:val="005216AC"/>
    <w:rsid w:val="00534A01"/>
    <w:rsid w:val="005C2C90"/>
    <w:rsid w:val="00605E60"/>
    <w:rsid w:val="00673051"/>
    <w:rsid w:val="0070481F"/>
    <w:rsid w:val="007155C6"/>
    <w:rsid w:val="007C3B13"/>
    <w:rsid w:val="0080779A"/>
    <w:rsid w:val="00831A26"/>
    <w:rsid w:val="00837E8A"/>
    <w:rsid w:val="008613E8"/>
    <w:rsid w:val="00922437"/>
    <w:rsid w:val="009563B7"/>
    <w:rsid w:val="0099388C"/>
    <w:rsid w:val="009C63CC"/>
    <w:rsid w:val="00A0440E"/>
    <w:rsid w:val="00A11FF4"/>
    <w:rsid w:val="00AB2C10"/>
    <w:rsid w:val="00AE61D9"/>
    <w:rsid w:val="00B147C0"/>
    <w:rsid w:val="00B32AFB"/>
    <w:rsid w:val="00B53A8B"/>
    <w:rsid w:val="00BB3A45"/>
    <w:rsid w:val="00BD0C59"/>
    <w:rsid w:val="00BF61A9"/>
    <w:rsid w:val="00C27D16"/>
    <w:rsid w:val="00C65D88"/>
    <w:rsid w:val="00CC2F8B"/>
    <w:rsid w:val="00CD7A04"/>
    <w:rsid w:val="00D6624D"/>
    <w:rsid w:val="00D711DA"/>
    <w:rsid w:val="00D93EE5"/>
    <w:rsid w:val="00DE1A35"/>
    <w:rsid w:val="00DE69E6"/>
    <w:rsid w:val="00DF1835"/>
    <w:rsid w:val="00E027BD"/>
    <w:rsid w:val="00E24F00"/>
    <w:rsid w:val="00E94A85"/>
    <w:rsid w:val="00F14EFE"/>
    <w:rsid w:val="00F36652"/>
    <w:rsid w:val="00F77742"/>
    <w:rsid w:val="00FB3B78"/>
    <w:rsid w:val="00FD46B3"/>
    <w:rsid w:val="00FE2C6B"/>
    <w:rsid w:val="00FF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widowControl w:val="0"/>
      <w:jc w:val="center"/>
      <w:outlineLvl w:val="0"/>
    </w:pPr>
    <w:rPr>
      <w:rFonts w:ascii="Times New Roman" w:hAnsi="Times New Roman"/>
      <w:snapToGrid w:val="0"/>
      <w:sz w:val="44"/>
    </w:rPr>
  </w:style>
  <w:style w:type="paragraph" w:styleId="Heading2">
    <w:name w:val="heading 2"/>
    <w:basedOn w:val="Normal"/>
    <w:next w:val="Normal"/>
    <w:qFormat/>
    <w:pPr>
      <w:widowControl w:val="0"/>
      <w:ind w:left="270" w:hanging="270"/>
      <w:outlineLvl w:val="1"/>
    </w:pPr>
    <w:rPr>
      <w:rFonts w:ascii="Times New Roman" w:hAnsi="Times New Roman"/>
      <w:snapToGrid w:val="0"/>
      <w:sz w:val="32"/>
    </w:rPr>
  </w:style>
  <w:style w:type="paragraph" w:styleId="Heading3">
    <w:name w:val="heading 3"/>
    <w:basedOn w:val="Normal"/>
    <w:next w:val="Normal"/>
    <w:qFormat/>
    <w:pPr>
      <w:widowControl w:val="0"/>
      <w:ind w:left="585" w:hanging="225"/>
      <w:outlineLvl w:val="2"/>
    </w:pPr>
    <w:rPr>
      <w:rFonts w:ascii="Times New Roman" w:hAnsi="Times New Roman"/>
      <w:snapToGrid w:val="0"/>
      <w:sz w:val="28"/>
    </w:rPr>
  </w:style>
  <w:style w:type="paragraph" w:styleId="Heading4">
    <w:name w:val="heading 4"/>
    <w:basedOn w:val="Normal"/>
    <w:next w:val="Normal"/>
    <w:qFormat/>
    <w:pPr>
      <w:keepNext/>
      <w:outlineLvl w:val="3"/>
    </w:pPr>
    <w:rPr>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Cs/>
      <w:sz w:val="24"/>
    </w:rPr>
  </w:style>
  <w:style w:type="paragraph" w:styleId="ListParagraph">
    <w:name w:val="List Paragraph"/>
    <w:basedOn w:val="Normal"/>
    <w:uiPriority w:val="34"/>
    <w:qFormat/>
    <w:rsid w:val="00831A26"/>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widowControl w:val="0"/>
      <w:jc w:val="center"/>
      <w:outlineLvl w:val="0"/>
    </w:pPr>
    <w:rPr>
      <w:rFonts w:ascii="Times New Roman" w:hAnsi="Times New Roman"/>
      <w:snapToGrid w:val="0"/>
      <w:sz w:val="44"/>
    </w:rPr>
  </w:style>
  <w:style w:type="paragraph" w:styleId="Heading2">
    <w:name w:val="heading 2"/>
    <w:basedOn w:val="Normal"/>
    <w:next w:val="Normal"/>
    <w:qFormat/>
    <w:pPr>
      <w:widowControl w:val="0"/>
      <w:ind w:left="270" w:hanging="270"/>
      <w:outlineLvl w:val="1"/>
    </w:pPr>
    <w:rPr>
      <w:rFonts w:ascii="Times New Roman" w:hAnsi="Times New Roman"/>
      <w:snapToGrid w:val="0"/>
      <w:sz w:val="32"/>
    </w:rPr>
  </w:style>
  <w:style w:type="paragraph" w:styleId="Heading3">
    <w:name w:val="heading 3"/>
    <w:basedOn w:val="Normal"/>
    <w:next w:val="Normal"/>
    <w:qFormat/>
    <w:pPr>
      <w:widowControl w:val="0"/>
      <w:ind w:left="585" w:hanging="225"/>
      <w:outlineLvl w:val="2"/>
    </w:pPr>
    <w:rPr>
      <w:rFonts w:ascii="Times New Roman" w:hAnsi="Times New Roman"/>
      <w:snapToGrid w:val="0"/>
      <w:sz w:val="28"/>
    </w:rPr>
  </w:style>
  <w:style w:type="paragraph" w:styleId="Heading4">
    <w:name w:val="heading 4"/>
    <w:basedOn w:val="Normal"/>
    <w:next w:val="Normal"/>
    <w:qFormat/>
    <w:pPr>
      <w:keepNext/>
      <w:outlineLvl w:val="3"/>
    </w:pPr>
    <w:rPr>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Cs/>
      <w:sz w:val="24"/>
    </w:rPr>
  </w:style>
  <w:style w:type="paragraph" w:styleId="ListParagraph">
    <w:name w:val="List Paragraph"/>
    <w:basedOn w:val="Normal"/>
    <w:uiPriority w:val="34"/>
    <w:qFormat/>
    <w:rsid w:val="00831A2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236005">
      <w:bodyDiv w:val="1"/>
      <w:marLeft w:val="0"/>
      <w:marRight w:val="0"/>
      <w:marTop w:val="0"/>
      <w:marBottom w:val="0"/>
      <w:divBdr>
        <w:top w:val="none" w:sz="0" w:space="0" w:color="auto"/>
        <w:left w:val="none" w:sz="0" w:space="0" w:color="auto"/>
        <w:bottom w:val="none" w:sz="0" w:space="0" w:color="auto"/>
        <w:right w:val="none" w:sz="0" w:space="0" w:color="auto"/>
      </w:divBdr>
    </w:div>
    <w:div w:id="1604650948">
      <w:bodyDiv w:val="1"/>
      <w:marLeft w:val="0"/>
      <w:marRight w:val="0"/>
      <w:marTop w:val="0"/>
      <w:marBottom w:val="0"/>
      <w:divBdr>
        <w:top w:val="none" w:sz="0" w:space="0" w:color="auto"/>
        <w:left w:val="none" w:sz="0" w:space="0" w:color="auto"/>
        <w:bottom w:val="none" w:sz="0" w:space="0" w:color="auto"/>
        <w:right w:val="none" w:sz="0" w:space="0" w:color="auto"/>
      </w:divBdr>
    </w:div>
    <w:div w:id="18497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hhe.com/jmd8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lobalfinancialdat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nance.yaho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Chapter 1</vt:lpstr>
    </vt:vector>
  </TitlesOfParts>
  <Company>Butler University</Company>
  <LinksUpToDate>false</LinksUpToDate>
  <CharactersWithSpaces>18137</CharactersWithSpaces>
  <SharedDoc>false</SharedDoc>
  <HLinks>
    <vt:vector size="18" baseType="variant">
      <vt:variant>
        <vt:i4>1376349</vt:i4>
      </vt:variant>
      <vt:variant>
        <vt:i4>6</vt:i4>
      </vt:variant>
      <vt:variant>
        <vt:i4>0</vt:i4>
      </vt:variant>
      <vt:variant>
        <vt:i4>5</vt:i4>
      </vt:variant>
      <vt:variant>
        <vt:lpwstr>http://www.mhhe.com/jmd8e</vt:lpwstr>
      </vt:variant>
      <vt:variant>
        <vt:lpwstr/>
      </vt:variant>
      <vt:variant>
        <vt:i4>3080297</vt:i4>
      </vt:variant>
      <vt:variant>
        <vt:i4>3</vt:i4>
      </vt:variant>
      <vt:variant>
        <vt:i4>0</vt:i4>
      </vt:variant>
      <vt:variant>
        <vt:i4>5</vt:i4>
      </vt:variant>
      <vt:variant>
        <vt:lpwstr>http://www.globalfinancialdata.com/</vt:lpwstr>
      </vt:variant>
      <vt:variant>
        <vt:lpwstr/>
      </vt:variant>
      <vt:variant>
        <vt:i4>5767171</vt:i4>
      </vt:variant>
      <vt:variant>
        <vt:i4>0</vt:i4>
      </vt:variant>
      <vt:variant>
        <vt:i4>0</vt:i4>
      </vt:variant>
      <vt:variant>
        <vt:i4>5</vt:i4>
      </vt:variant>
      <vt:variant>
        <vt:lpwstr>http://finance.yahoo.com/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Fundamentals of Investments</dc:subject>
  <dc:creator>Thomas W. Miller, Jr.</dc:creator>
  <cp:lastModifiedBy>Lohn, Jennifer</cp:lastModifiedBy>
  <cp:revision>3</cp:revision>
  <cp:lastPrinted>2010-02-01T15:27:00Z</cp:lastPrinted>
  <dcterms:created xsi:type="dcterms:W3CDTF">2017-04-21T16:23:00Z</dcterms:created>
  <dcterms:modified xsi:type="dcterms:W3CDTF">2017-04-21T16:24:00Z</dcterms:modified>
</cp:coreProperties>
</file>