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6"/>
              <w:gridCol w:w="6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 use tax return preparers and about 33%  purchase tax return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7"/>
              <w:gridCol w:w="7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Sixteenth Amendment validated only the tax on </w:t>
                  </w:r>
                  <w:r>
                    <w:rPr>
                      <w:rStyle w:val="DefaultParagraphFont"/>
                      <w:b w:val="0"/>
                      <w:bCs w:val="0"/>
                      <w:i/>
                      <w:iCs/>
                      <w:smallCaps w:val="0"/>
                      <w:color w:val="000000"/>
                      <w:sz w:val="20"/>
                      <w:szCs w:val="20"/>
                      <w:bdr w:val="nil"/>
                      <w:rtl w:val="0"/>
                    </w:rPr>
                    <w:t>individuals</w:t>
                  </w:r>
                  <w:r>
                    <w:rPr>
                      <w:rStyle w:val="DefaultParagraphFont"/>
                      <w:b w:val="0"/>
                      <w:bCs w:val="0"/>
                      <w:i w:val="0"/>
                      <w:iCs w:val="0"/>
                      <w:smallCaps w:val="0"/>
                      <w:color w:val="000000"/>
                      <w:sz w:val="20"/>
                      <w:szCs w:val="20"/>
                      <w:bdr w:val="nil"/>
                      <w:rtl w:val="0"/>
                    </w:rPr>
                    <w:t>. The income tax on corporations had been previously sanctioned by the courts.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6"/>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existed a Federal income tax during the Civil War that was sanctioned by the U.S. Supreme Court.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8"/>
              <w:gridCol w:w="7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Pay-as-you-go refers to the withholding provisions applicable to wages and other types of income and adds </w:t>
                  </w:r>
                  <w:r>
                    <w:rPr>
                      <w:rStyle w:val="DefaultParagraphFont"/>
                      <w:b w:val="0"/>
                      <w:bCs w:val="0"/>
                      <w:i/>
                      <w:iCs/>
                      <w:smallCaps w:val="0"/>
                      <w:color w:val="000000"/>
                      <w:sz w:val="20"/>
                      <w:szCs w:val="20"/>
                      <w:bdr w:val="nil"/>
                      <w:rtl w:val="0"/>
                    </w:rPr>
                    <w:t>convenience</w:t>
                  </w:r>
                  <w:r>
                    <w:rPr>
                      <w:rStyle w:val="DefaultParagraphFont"/>
                      <w:b w:val="0"/>
                      <w:bCs w:val="0"/>
                      <w:i w:val="0"/>
                      <w:iCs w:val="0"/>
                      <w:smallCaps w:val="0"/>
                      <w:color w:val="000000"/>
                      <w:sz w:val="20"/>
                      <w:szCs w:val="20"/>
                      <w:bdr w:val="nil"/>
                      <w:rtl w:val="0"/>
                    </w:rPr>
                    <w:t xml:space="preserve"> to the tax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FICA tax (Medicare component)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FICA tax (Medicare component) is </w:t>
                  </w:r>
                  <w:r>
                    <w:rPr>
                      <w:rStyle w:val="DefaultParagraphFont"/>
                      <w:b w:val="0"/>
                      <w:bCs w:val="0"/>
                      <w:i/>
                      <w:iCs/>
                      <w:smallCaps w:val="0"/>
                      <w:color w:val="000000"/>
                      <w:sz w:val="20"/>
                      <w:szCs w:val="20"/>
                      <w:bdr w:val="nil"/>
                      <w:rtl w:val="0"/>
                    </w:rPr>
                    <w:t>proportional</w:t>
                  </w:r>
                  <w:r>
                    <w:rPr>
                      <w:rStyle w:val="DefaultParagraphFont"/>
                      <w:b w:val="0"/>
                      <w:bCs w:val="0"/>
                      <w:i w:val="0"/>
                      <w:iCs w:val="0"/>
                      <w:smallCaps w:val="0"/>
                      <w:color w:val="000000"/>
                      <w:sz w:val="20"/>
                      <w:szCs w:val="20"/>
                      <w:bdr w:val="nil"/>
                      <w:rtl w:val="0"/>
                    </w:rPr>
                    <w:t xml:space="preserve"> because the rate is constant regardless of the wages earned.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cigarettes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 is a flat $1.01 per pack.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it ever has been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2"/>
              <w:gridCol w:w="6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Currently, the Federal income tax has six rates. At one time, it had two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Conversion from residential to rental use will increase the taxes. Furthermore, Mona’s mother may have had a senior citizen exemption on the property, which will no longer be appropriate. Lastly, the furnishings in the rent house could now be subject to an </w:t>
                  </w:r>
                  <w:r>
                    <w:rPr>
                      <w:rStyle w:val="DefaultParagraphFont"/>
                      <w:b w:val="0"/>
                      <w:bCs w:val="0"/>
                      <w:i/>
                      <w:iCs/>
                      <w:smallCaps w:val="0"/>
                      <w:color w:val="000000"/>
                      <w:sz w:val="20"/>
                      <w:szCs w:val="20"/>
                      <w:bdr w:val="nil"/>
                      <w:rtl w:val="0"/>
                    </w:rPr>
                    <w:t>ad valorem</w:t>
                  </w:r>
                  <w:r>
                    <w:rPr>
                      <w:rStyle w:val="DefaultParagraphFont"/>
                      <w:b w:val="0"/>
                      <w:bCs w:val="0"/>
                      <w:i w:val="0"/>
                      <w:iCs w:val="0"/>
                      <w:smallCaps w:val="0"/>
                      <w:color w:val="000000"/>
                      <w:sz w:val="20"/>
                      <w:szCs w:val="20"/>
                      <w:bdr w:val="nil"/>
                      <w:rtl w:val="0"/>
                    </w:rPr>
                    <w:t xml:space="preserve"> tax on personalty.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0"/>
              <w:gridCol w:w="6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By definition, a fixture becomes part of the real estate to which it is attached.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Property taxes will vary in accordance with changes in the assessed value of the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excise tax is no longer imposed on admission to theaters.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Such tax has been rescinded.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such restriction is imposed. Although many of the European luxury and sports car manufacturers were initially hit hard by the tax, the law is silent on this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Federal counterpart, 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excise tax rate on gasoline remains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state that has a general sales tax also has a use tax. There are no states with only a sales or use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exempt but compliance is sporadic.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3"/>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possibility could exist if local jurisdictions exact additional sales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impose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5"/>
              <w:gridCol w:w="6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review of the Example 5 discussion shows that this may not always be successful.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8"/>
              <w:gridCol w:w="7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relies on an estate tax while states impose an estate tax, an inheritance tax, both taxes, or neither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1"/>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an estate tax. An inheritance tax is a tax on an heir’s right to receive property from a decedent.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the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7"/>
              <w:gridCol w:w="6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combination of the charitable and marital deductions will eliminate Clint’s taxable estate.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3"/>
              <w:gridCol w:w="7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more closely related the heir is to the decedent, the larger the exemption allowed and/or the lower the tax rate imposed.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$14,000,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annual exclusion is not available for estate tax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2017,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(value of land) – $50,000 (consideration received) – $14,000 (per donee annual exclusion) = $36,000 (taxable gift).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6"/>
              <w:gridCol w:w="7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Julius can obtain the consent of his wife to make the election to split the gifts, twelve per donee annual exclusions are available.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4"/>
              <w:gridCol w:w="6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presumes that income-producing property is involved and that the donee is in a lower tax bracket than the donor.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7"/>
              <w:gridCol w:w="6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an AGI determination is required only for individual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Highly-paid taxpayers (e.g., entertainers, athletes) are often subject to a state’s income tax. The so-called “jock tax” has been criticized since it singles out highly-paid and well known personalities and is not imposed on the average business traveler.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a majority of states allow a deduction for Federal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a minority allow the deduction.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Often a table is provided that suggests an amount to be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has offered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One state has had at least four.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5"/>
              <w:gridCol w:w="6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amnesty has been made available as to various tax penalties in certain tax shelter situations.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taxes and interest are not forgiven. Only the penalties are forgiven.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4"/>
              <w:gridCol w:w="6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view of tight state finances, decoupling from various Federal tax cuts has become quite common.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the objective of the FICA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dollar amount limitation on the Medicare component of FICA.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An exemption exists for taxpayer’s children who are </w:t>
                  </w:r>
                  <w:r>
                    <w:rPr>
                      <w:rStyle w:val="DefaultParagraphFont"/>
                      <w:b w:val="0"/>
                      <w:bCs w:val="0"/>
                      <w:i/>
                      <w:iCs/>
                      <w:smallCaps w:val="0"/>
                      <w:color w:val="000000"/>
                      <w:sz w:val="20"/>
                      <w:szCs w:val="20"/>
                      <w:bdr w:val="nil"/>
                      <w:rtl w:val="0"/>
                    </w:rPr>
                    <w:t>under age 18</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 major difference between FICA and FUTA.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use in 140 countries seems to represent “wide acceptance.”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greater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8"/>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indicates that the IRS is not always choosing the right returns to audit (i.e., those that contain errors).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7"/>
              <w:gridCol w:w="6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the taxpayer has itemized deductions that are unusually large, the chances of being selected for audit increase.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office audit, the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4"/>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 field audit. An office audit takes place at the office of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RAR can result in no change, a deficiency, or a refund.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begins on the due date of the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Unless fraud is involved, the statute of limitations in this case is 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Interest rates are determined quarterly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2016 Federal income tax return on March 4, 2017. The return reflects an overpayment of $6,000, and the taxpayer requests a refund of this amount. The refund is paid on May 16, 2017.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3"/>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Because 45 days have not gone by since the </w:t>
                  </w:r>
                  <w:r>
                    <w:rPr>
                      <w:rStyle w:val="DefaultParagraphFont"/>
                      <w:b w:val="0"/>
                      <w:bCs w:val="0"/>
                      <w:i/>
                      <w:iCs/>
                      <w:smallCaps w:val="0"/>
                      <w:color w:val="000000"/>
                      <w:sz w:val="20"/>
                      <w:szCs w:val="20"/>
                      <w:bdr w:val="nil"/>
                      <w:rtl w:val="0"/>
                    </w:rPr>
                    <w:t>due date</w:t>
                  </w:r>
                  <w:r>
                    <w:rPr>
                      <w:rStyle w:val="DefaultParagraphFont"/>
                      <w:b w:val="0"/>
                      <w:bCs w:val="0"/>
                      <w:i w:val="0"/>
                      <w:iCs w:val="0"/>
                      <w:smallCaps w:val="0"/>
                      <w:color w:val="000000"/>
                      <w:sz w:val="20"/>
                      <w:szCs w:val="20"/>
                      <w:bdr w:val="nil"/>
                      <w:rtl w:val="0"/>
                    </w:rPr>
                    <w:t xml:space="preserve"> of the return, interest need not be paid on the refund.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7"/>
              <w:gridCol w:w="6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There exists no difference in the applicable interest rates for </w:t>
                  </w:r>
                  <w:r>
                    <w:rPr>
                      <w:rStyle w:val="DefaultParagraphFont"/>
                      <w:b w:val="0"/>
                      <w:bCs w:val="0"/>
                      <w:i/>
                      <w:iCs/>
                      <w:smallCaps w:val="0"/>
                      <w:color w:val="000000"/>
                      <w:sz w:val="20"/>
                      <w:szCs w:val="20"/>
                      <w:bdr w:val="nil"/>
                      <w:rtl w:val="0"/>
                    </w:rPr>
                    <w:t>individual</w:t>
                  </w:r>
                  <w:r>
                    <w:rPr>
                      <w:rStyle w:val="DefaultParagraphFont"/>
                      <w:b w:val="0"/>
                      <w:bCs w:val="0"/>
                      <w:i w:val="0"/>
                      <w:iCs w:val="0"/>
                      <w:smallCaps w:val="0"/>
                      <w:color w:val="000000"/>
                      <w:sz w:val="20"/>
                      <w:szCs w:val="20"/>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9"/>
              <w:gridCol w:w="6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failure to file penalty </w:t>
                  </w:r>
                  <w:r>
                    <w:rPr>
                      <w:rStyle w:val="DefaultParagraphFont"/>
                      <w:b w:val="0"/>
                      <w:bCs w:val="0"/>
                      <w:i/>
                      <w:iCs/>
                      <w:smallCaps w:val="0"/>
                      <w:color w:val="000000"/>
                      <w:sz w:val="20"/>
                      <w:szCs w:val="20"/>
                      <w:bdr w:val="nil"/>
                      <w:rtl w:val="0"/>
                    </w:rPr>
                    <w:t>is reduced</w:t>
                  </w:r>
                  <w:r>
                    <w:rPr>
                      <w:rStyle w:val="DefaultParagraphFont"/>
                      <w:b w:val="0"/>
                      <w:bCs w:val="0"/>
                      <w:i w:val="0"/>
                      <w:iCs w:val="0"/>
                      <w:smallCaps w:val="0"/>
                      <w:color w:val="000000"/>
                      <w:sz w:val="20"/>
                      <w:szCs w:val="20"/>
                      <w:bdr w:val="nil"/>
                      <w:rtl w:val="0"/>
                    </w:rPr>
                    <w:t xml:space="preserve"> by the amount of the failure to pay penalty.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Interest accrues daily.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the negligence penalty situation, there is no intent to defraud requirement.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negligence penalty applies only to $25,000.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9"/>
              <w:gridCol w:w="6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What is described is </w:t>
                  </w:r>
                  <w:r>
                    <w:rPr>
                      <w:rStyle w:val="DefaultParagraphFont"/>
                      <w:b w:val="0"/>
                      <w:bCs w:val="0"/>
                      <w:i/>
                      <w:iCs/>
                      <w:smallCaps w:val="0"/>
                      <w:color w:val="000000"/>
                      <w:sz w:val="20"/>
                      <w:szCs w:val="20"/>
                      <w:bdr w:val="nil"/>
                      <w:rtl w:val="0"/>
                    </w:rPr>
                    <w:t>criminal</w:t>
                  </w:r>
                  <w:r>
                    <w:rPr>
                      <w:rStyle w:val="DefaultParagraphFont"/>
                      <w:b w:val="0"/>
                      <w:bCs w:val="0"/>
                      <w:i w:val="0"/>
                      <w:iCs w:val="0"/>
                      <w:smallCaps w:val="0"/>
                      <w:color w:val="000000"/>
                      <w:sz w:val="20"/>
                      <w:szCs w:val="20"/>
                      <w:bdr w:val="nil"/>
                      <w:rtl w:val="0"/>
                    </w:rPr>
                    <w:t xml:space="preserve"> fraud. Civil fraud involves a monetary penalty of 75% of the deficiency attributable to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6"/>
              <w:gridCol w:w="7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However, if the error is material and carries over to the current year, the preparer should consider withdrawing from the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77"/>
              <w:gridCol w:w="6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Estimates are allowed if reasonable and not given the appearance of greater accuracy than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59"/>
              <w:gridCol w:w="7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question need not be answered if the information requested is not readily available, the answer is voluminous, or the question’s meaning is uncertain.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3"/>
              <w:gridCol w:w="6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Confidentiality must be secured; accuracy verified; and clients advised of the procedure.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5"/>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tax cut is revenue neutral unless accompanied by a revenue offset. A phase-in merely postpones some of the revenue loss caused by the tax cut.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sunset provision rescinds the change and reinstates former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justification is social and economic.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justification is attributable to the savings that result. In terms of social justification, private retirement plans supplement the meager benefits provided by Social Security and, thereby, circumvent the need for public assistance.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to other years of the excess charitable contributions of a particular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also the case with excess capital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As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As it is consistent with the wherewithal to pay concept, the tax law requires a seller to recognize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seller is taxed in the years the installment payments are received.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1"/>
              <w:gridCol w:w="6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Stealth taxes phase out (or eliminate) certain tax benefits from </w:t>
                  </w:r>
                  <w:r>
                    <w:rPr>
                      <w:rStyle w:val="DefaultParagraphFont"/>
                      <w:b w:val="0"/>
                      <w:bCs w:val="0"/>
                      <w:i/>
                      <w:iCs/>
                      <w:smallCaps w:val="0"/>
                      <w:color w:val="000000"/>
                      <w:sz w:val="20"/>
                      <w:szCs w:val="20"/>
                      <w:bdr w:val="nil"/>
                      <w:rtl w:val="0"/>
                    </w:rPr>
                    <w:t>higher income</w:t>
                  </w:r>
                  <w:r>
                    <w:rPr>
                      <w:rStyle w:val="DefaultParagraphFont"/>
                      <w:b w:val="0"/>
                      <w:bCs w:val="0"/>
                      <w:i w:val="0"/>
                      <w:iCs w:val="0"/>
                      <w:smallCaps w:val="0"/>
                      <w:color w:val="000000"/>
                      <w:sz w:val="20"/>
                      <w:szCs w:val="20"/>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7"/>
              <w:gridCol w:w="6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inconsistent with accounting rules, although it can be justified for tax purposes under the wherewithal to pay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 the opposite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Such provisions should be </w:t>
                  </w:r>
                  <w:r>
                    <w:rPr>
                      <w:rStyle w:val="DefaultParagraphFont"/>
                      <w:rFonts w:ascii="Times New Roman" w:eastAsia="Times New Roman" w:hAnsi="Times New Roman" w:cs="Times New Roman"/>
                      <w:b w:val="0"/>
                      <w:bCs w:val="0"/>
                      <w:i/>
                      <w:iCs/>
                      <w:smallCaps w:val="0"/>
                      <w:color w:val="000000"/>
                      <w:sz w:val="22"/>
                      <w:szCs w:val="22"/>
                      <w:bdr w:val="nil"/>
                      <w:rtl w:val="0"/>
                    </w:rPr>
                    <w:t>narrowly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in favor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taxes are applied at a constant rate that does not progress.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a farm was probably subject to reduced valuation (due to its agricultural use), it will now be fully exempt since it is owned by a church (choice a.). Property that is subject to a conservation easement is usually appraised at a lower value (choice b.). The expiration of a tax holiday means that the property involved can now be taxed (choice c.). The motel has been converted from business property to exempt charitable use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a. has an effect since the tax holiday was granted. Choice b. will increase taxes as the church was abandoned and previously exempt. Choice c. converts one tax-exempt property (i.e., school) into another (i.e., public park). Choice d. probably places the building on the tax rolls because it is no longer owned by a tax-exempt institution.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Taxpayer compliance is greater with business use property (choice a.). Very few states impose a tax on intangibles (choice c.) because it is easily avoided and does not generate much revenue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the manufacture of sporting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imposes an excise tax on tobacco (choice a.), customs duties (choice b.), and a gas guzzler tax (choice d.). It does not impose a tax on rental cars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9"/>
              <w:gridCol w:w="6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c., and d. are levied at the state or local level. Choice b. is strictly a Federal levy.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states impose a tobacco excise tax (choice a.). Most states impose individual income taxes (choice b.) and general sales taxes (choice d.), and only some states impose inheritance taxes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use tax is a complement to a general sales tax. Consequently, it is imposed by most states because only a few states do not have a general sales tax. At this point, the Federal government has no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Burt wants to make gifts to their four children in 2017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3"/>
              <w:gridCol w:w="7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4 (number of donees)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$14,000 (annual exclusion)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 (number of donors) = $112,000. It is assumed that Lisa will make the election to split the gifts.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per donee annual exclusion is only available for gift tax purposes (choice c.). Ideally, gifts should involve property that is expected to </w:t>
                  </w:r>
                  <w:r>
                    <w:rPr>
                      <w:rStyle w:val="DefaultParagraphFont"/>
                      <w:b w:val="0"/>
                      <w:bCs w:val="0"/>
                      <w:i/>
                      <w:iCs/>
                      <w:smallCaps w:val="0"/>
                      <w:color w:val="000000"/>
                      <w:sz w:val="20"/>
                      <w:szCs w:val="20"/>
                      <w:bdr w:val="nil"/>
                      <w:rtl w:val="0"/>
                    </w:rPr>
                    <w:t>appreciate</w:t>
                  </w:r>
                  <w:r>
                    <w:rPr>
                      <w:rStyle w:val="DefaultParagraphFont"/>
                      <w:b w:val="0"/>
                      <w:bCs w:val="0"/>
                      <w:i w:val="0"/>
                      <w:iCs w:val="0"/>
                      <w:smallCaps w:val="0"/>
                      <w:color w:val="000000"/>
                      <w:sz w:val="20"/>
                      <w:szCs w:val="20"/>
                      <w:bdr w:val="nil"/>
                      <w:rtl w:val="0"/>
                    </w:rPr>
                    <w:t xml:space="preserve"> in value (choice b.). A higher unified tax credit is not available for gift tax purposes (choice a.). Usually the donor is trying to shift future income to </w:t>
                  </w:r>
                  <w:r>
                    <w:rPr>
                      <w:rStyle w:val="DefaultParagraphFont"/>
                      <w:b w:val="0"/>
                      <w:bCs w:val="0"/>
                      <w:i/>
                      <w:iCs/>
                      <w:smallCaps w:val="0"/>
                      <w:color w:val="000000"/>
                      <w:sz w:val="20"/>
                      <w:szCs w:val="20"/>
                      <w:bdr w:val="nil"/>
                      <w:rtl w:val="0"/>
                    </w:rPr>
                    <w:t>lower</w:t>
                  </w:r>
                  <w:r>
                    <w:rPr>
                      <w:rStyle w:val="DefaultParagraphFont"/>
                      <w:b w:val="0"/>
                      <w:bCs w:val="0"/>
                      <w:i w:val="0"/>
                      <w:iCs w:val="0"/>
                      <w:smallCaps w:val="0"/>
                      <w:color w:val="000000"/>
                      <w:sz w:val="20"/>
                      <w:szCs w:val="20"/>
                      <w:bdr w:val="nil"/>
                      <w:rtl w:val="0"/>
                    </w:rPr>
                    <w:t xml:space="preserve"> bracket donees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piggyback to the Federal system (choice a.). Some states, due to revenue shortfalls, have decoupled from various provisions of the Federal version (choice c.). The “jock tax,” although much criticized, is very much in being (choice b.). Some states have had more than one amnesty period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and not applying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administered by both state and Federal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FICA is imposed on </w:t>
                  </w:r>
                  <w:r>
                    <w:rPr>
                      <w:rStyle w:val="DefaultParagraphFont"/>
                      <w:b w:val="0"/>
                      <w:bCs w:val="0"/>
                      <w:i/>
                      <w:iCs/>
                      <w:smallCaps w:val="0"/>
                      <w:color w:val="000000"/>
                      <w:sz w:val="20"/>
                      <w:szCs w:val="20"/>
                      <w:bdr w:val="nil"/>
                      <w:rtl w:val="0"/>
                    </w:rPr>
                    <w:t>both</w:t>
                  </w:r>
                  <w:r>
                    <w:rPr>
                      <w:rStyle w:val="DefaultParagraphFont"/>
                      <w:b w:val="0"/>
                      <w:bCs w:val="0"/>
                      <w:i w:val="0"/>
                      <w:iCs w:val="0"/>
                      <w:smallCaps w:val="0"/>
                      <w:color w:val="000000"/>
                      <w:sz w:val="20"/>
                      <w:szCs w:val="20"/>
                      <w:bdr w:val="nil"/>
                      <w:rtl w:val="0"/>
                    </w:rPr>
                    <w:t xml:space="preserve"> the employer and the employee (choice b.). Spouses who work for each other are not exempt from the tax (choice a.). Its objective is retirement income, not loss of employment (choice c.). It is administered only by the Federal government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FUTA is imposed only on the employer (choices a. and b.). Choice d. refers to FICA. Because the administration of FUTA is shared by Federal and state governments, employers must comply with the rules issued by each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eliminate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simplify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2"/>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only a single rate. The tax base is simplified by taxing only limited types of income. Many deductions and credits would be eliminated.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Both the VAT and a general sales tax are taxes on consumption (choice c.) and are regressive in effect (choice a.). The VAT has been adopted by many countries (choice b.), many of which (e.g., Japan, Denmark) </w:t>
                  </w:r>
                  <w:r>
                    <w:rPr>
                      <w:rStyle w:val="DefaultParagraphFont"/>
                      <w:b w:val="0"/>
                      <w:bCs w:val="0"/>
                      <w:i/>
                      <w:iCs/>
                      <w:smallCaps w:val="0"/>
                      <w:color w:val="000000"/>
                      <w:sz w:val="20"/>
                      <w:szCs w:val="20"/>
                      <w:bdr w:val="nil"/>
                      <w:rtl w:val="0"/>
                    </w:rPr>
                    <w:t>are not</w:t>
                  </w:r>
                  <w:r>
                    <w:rPr>
                      <w:rStyle w:val="DefaultParagraphFont"/>
                      <w:b w:val="0"/>
                      <w:bCs w:val="0"/>
                      <w:i w:val="0"/>
                      <w:iCs w:val="0"/>
                      <w:smallCaps w:val="0"/>
                      <w:color w:val="000000"/>
                      <w:sz w:val="20"/>
                      <w:szCs w:val="20"/>
                      <w:bdr w:val="nil"/>
                      <w:rtl w:val="0"/>
                    </w:rPr>
                    <w:t xml:space="preserve"> third world countries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has been audited several times before.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Employees are subject to income tax withholding and have little opportunity to avoid reporting income (choice b.). Casino gambling income is subject to Form 1099 reporting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Special agents are assigned to an audit only when fraud might be involved (choice a.). Self-employed persons have more flexibility in manipulating income and deductions than do employed taxpayers (choice b.). The next step after an initial audit would be the Appeals Division within the IRS (choice d.). Settlement at this level could avoid costly litigation.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77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procedure identified in Example 20, the penalty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5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751"/>
                    <w:gridCol w:w="4892"/>
                    <w:gridCol w:w="892"/>
                    <w:gridCol w:w="845"/>
                  </w:tblGrid>
                  <w:tr>
                    <w:tblPrEx>
                      <w:tblW w:w="745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$40,000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 (two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months violation)]</w:t>
                        </w:r>
                      </w:p>
                    </w:tc>
                    <w:tc>
                      <w:tcPr>
                        <w:tcW w:w="1755" w:type="dxa"/>
                        <w:gridSpan w:val="2"/>
                        <w:noWrap w:val="0"/>
                        <w:tcMar>
                          <w:top w:w="15" w:type="dxa"/>
                          <w:left w:w="15" w:type="dxa"/>
                          <w:bottom w:w="15" w:type="dxa"/>
                          <w:right w:w="15"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589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$40,000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violation)]</w:t>
                        </w:r>
                      </w:p>
                    </w:tc>
                    <w:tc>
                      <w:tcPr>
                        <w:tcW w:w="930" w:type="dxa"/>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 </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3,600</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the same burden of proof in the case of criminal fraud than with civil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b. describes criminal fraud, while choice c. describes civil fraud. When both negligence and civil fraud exists as to the same deficiency, both penalties cannot apply and the civil fraud penalty predominates (choice a.). In the case of criminal fraud, the IRS must also show willfulness on the part of the taxpayer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you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some cases, the use of client estimates is acceptable (choice a.), but they should not give the appearance of certainty (choice d.). Questions can be left blank if their meaning is uncertain or the answer is not readily available or voluminous (choice b.). Withdrawal is not necessary if the error is not material or does not have a carryover effect on the current year return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1"/>
              <w:gridCol w:w="6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Equity considerations justify choices b. and d., and economic considerations justify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domestic production activities deduction for certain manufacturing income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0"/>
              <w:gridCol w:w="7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deduction will encourage U.S. manufacturing. It also will lead to job growth and discourage the outsourcing of labor to overseas.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it may be “good politics” to promote measures that ease the problem of global warming (choice a.), the real justification is economic (curtail dependence on foreign oil) and social (reduce pollution)—choice b. The encouragement of small business (choice d.) is a byproduct of these conservation provisions, but is not their justification.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carryback and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charitable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6"/>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involuntary conversion provision is based on the wherewithal to pay concept (choice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and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Casualty losses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through d. aid the IRS in administering the tax laws. Choice e., particularly when trying to value property contributions, will add to the audit effort required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0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2017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1"/>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$238,000</w:t>
                  </w:r>
                  <w:r>
                    <w:rPr>
                      <w:rStyle w:val="DefaultParagraphFont"/>
                      <w:rFonts w:ascii="Times New Roman" w:eastAsia="Times New Roman" w:hAnsi="Times New Roman" w:cs="Times New Roman"/>
                      <w:b w:val="0"/>
                      <w:bCs w:val="0"/>
                      <w:i w:val="0"/>
                      <w:iCs w:val="0"/>
                      <w:smallCaps w:val="0"/>
                      <w:color w:val="000000"/>
                      <w:sz w:val="22"/>
                      <w:szCs w:val="22"/>
                      <w:bdr w:val="nil"/>
                      <w:rtl w:val="0"/>
                    </w:rPr>
                    <w:t>. $14,000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 = $238,000.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and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12"/>
                    <w:gridCol w:w="6254"/>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16, 2018.</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6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16, 2018). Here,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as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8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1"/>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$6,000</w:t>
                  </w:r>
                  <w:r>
                    <w:rPr>
                      <w:rStyle w:val="DefaultParagraphFont"/>
                      <w:rFonts w:ascii="Times New Roman" w:eastAsia="Times New Roman" w:hAnsi="Times New Roman" w:cs="Times New Roman"/>
                      <w:b w:val="0"/>
                      <w:bCs w:val="0"/>
                      <w:i w:val="0"/>
                      <w:iCs w:val="0"/>
                      <w:smallCaps w:val="0"/>
                      <w:color w:val="000000"/>
                      <w:sz w:val="22"/>
                      <w:szCs w:val="22"/>
                      <w:bdr w:val="nil"/>
                      <w:rtl w:val="0"/>
                    </w:rPr>
                    <w:t>.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2017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7"/>
              <w:gridCol w:w="6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3"/>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2017,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8"/>
              <w:gridCol w:w="6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1"/>
                    <w:gridCol w:w="6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as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Paige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1986, Roy leased real estate to Drab Corporation for 20 years. Drab Corporation made significant capital improvements to the property. In 2006, Drab decides not to renew the lease and vacates the property. At that time, the value of the improvements is $800,000. Roy sells the real estate in 2017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2017).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does the Federal income tax fare as far as </w:t>
            </w:r>
            <w:r>
              <w:rPr>
                <w:rStyle w:val="DefaultParagraphFont"/>
                <w:rFonts w:ascii="Times New Roman" w:eastAsia="Times New Roman" w:hAnsi="Times New Roman" w:cs="Times New Roman"/>
                <w:b w:val="0"/>
                <w:bCs w:val="0"/>
                <w:i/>
                <w:iCs/>
                <w:smallCaps w:val="0"/>
                <w:color w:val="000000"/>
                <w:sz w:val="22"/>
                <w:szCs w:val="22"/>
                <w:bdr w:val="nil"/>
                <w:rtl w:val="0"/>
              </w:rPr>
              <w:t>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is present only if the collection procedure of the IRS is considered. Economy is not present, however, if the focus is on taxpayer compliance effort and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population change, the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problems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2015, Deborah became 65 years old. In 2016 she added a swimming pool, and in 2017 she converted the residence to rental property and moved into an assisted living facility. Since 2014,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2015 when Deborah reached age 65. The increases probably occurred in 2016 when she added the pool and in 2017 when the residence was converted to rental property with the property reassessed due to change in use and/or removal of the homestead exemption.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 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out-of-state is 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 pay use tax on out-of-state-purchases.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8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5"/>
              <w:gridCol w:w="8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means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while states impose inheritance taxes. Some states impose both, while others impose neither.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Logan dies with an estate worth $20 million. Under his will, $10 million passes to his wife while $10 million goes to his church. What is Logan’s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Logan’s taxable estate is $0.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state income taxes, explain what is meant by the “jock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states have a right to levy an income tax on all nonresidents who earn income within the state, they usually do so only on highly paid visitors. Such persons are often athletes, hence the designation of “jock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6"/>
                    <w:gridCol w:w="6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as to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Web site, the taxing authority posts the names of those taxpayers that are delinquent as to various taxes (e.g., sales, income). This public humiliation (or threat of) very often results in 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2017,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Appeals Division of the IRS. Here, the IRS has the authority to negotiate a settlement based on the “hazards of litigation” (i.e., the probabilities of winning or losing). If a settlement is reached, resort to the courts is avoided.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2017. In reviewing her 2016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2016 correcting the error. If she refuses, you should assess the gravity of the error and how it impacts on your ability to file an accurate return for 2017. If you cannot do so, then you must decline the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she will be audited irrespective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4"/>
                    <w:gridCol w:w="6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As to the latter, a better educated workforce carries a positive economic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9"/>
                    <w:gridCol w:w="6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6"/>
                    <w:gridCol w:w="6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carryback and/or carryover provisions that apply the excess losses to profitable years, the losses would disappear. As shown by Example 24, this result places a business with profit and loss fluctuations on a more level playing field with one that maintains a stable income pattern.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0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cuts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down on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Carryback and 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one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Jock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Index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choices provided below,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 Measurment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income from 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3-year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7"/>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An Introduction to Taxation and Understanding Federal Tax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Taxation and Understanding Federal Tax Law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Jonathan Gross</vt:lpwstr>
  </property>
</Properties>
</file>