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Disk Management snap-in can be utilized to create redundant disk configurations, such as RAID 1 and RAID 5.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​When installing Windows Server 2012 R2 Essentials Edition, the server is automatically configured as a root domain controller.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TCP/IPv4 protocol suite is the newest set of networking protocols installed on Windows Server 2012.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Line Printer Daemon role service provides print compatibility with Linux / UNIX clients.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Foundation Edition of Windows Server 2012, although limited, supports Hyper-V, and can be installed within a virtual machine.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​Which version of Windows Server 2012 is available through OEMs only, and is limited to a maximum of 15 users?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​Foundation Edition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​Essentials Edition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​Datacenter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​Standard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service uses a private cloud in conjunction with a web browser or downloaded client software to access desktop software?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​DaaS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Remote Desktop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IaaS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​Virtual Desktop Infrastructure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 workgroup model is recommended for networks of what size?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4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​10 computers or more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​10 computers or less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​100 computers or more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​100 computers or less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edition of Windows Server 2012 R2 can have up to 4 TB of RAM, and function as a virtualization host with unlimited virtual instances?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​Foundation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​Datacenter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​Essentials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​Standard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​Dropbox, SkyDrive, and Google Apps are all examples of what type of computing?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​Public cloud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​Private cloud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Domain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​Open cloud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file system below supports encryption, compression, and use of volumes?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​FAT16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​FAT32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​NTFS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​ISO9660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Windows Server 2012 R2 role provides automatic IP address assignment and configuration for client computers?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​AD 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​AD 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​DHCP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Windows Server 2012 R2 server role provides the Host Credential Authorization Protocol (HCAP) role service?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6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​Remote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​Print and Document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​Windows Deployment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​Network Policy and Access Services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file system below does not support encryption, file based compression, and disk quotas, but does support extremely large volume sizes?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​NTFS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​FAT16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​FAT32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​ReFS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is the maximum number of virtual processors supported by Hyper-V 3.0?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​64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Select below the Active Directory server role that provides the functions of Active Directory without the requirements of forests, domains, and domain controllers.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2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​AD 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​AD 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​AD 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​AD RMS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choices is not a service supported by Windows 8.1?​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5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​Hyper-V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​File and Printer Sharing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​FTP Server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​DHCP Server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DirectAccess service is installed when which of the following roles are added to a Windows Server 2012 R2 installation?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6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​Network Policy and Access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​Remote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​Hyper-V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​File and Storage Services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​Internet and Windows domains are resolved to IP addresses using what role service?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​DHCP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​Active Directory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​IPAM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users can be supported by the Essentials Edition of Windows Server 2012?​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​50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organization must possess which of the following items in order to legally facilitate user logins?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1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​User Access License (UAL)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​Server Access License (SAL)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​Client Access License (CAL)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​Personal Access License (PAL)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much RAM can be installed in either Datacenter or Standard editions of Windows Server 2012?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​16 GB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​32 GB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 TB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​8 TB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Select the utility below that provides a single interface for installing, configuring, and removing a variety of server roles and features, as well as providing a place to view server status.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​Server Manager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​Active Directory Users and Computers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​MMC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​PowerShell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role provides services for creating, issuing, and managing digital certificates that can be used to verify identities?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5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​Active Directory Domain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​Active Directory Certificate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​Active Directory Federation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​Active Directory Rights Management Services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Select below the term used to describe the virtualization software component that creates and monitors the virtual hardware environment.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​Host computer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​Host OS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​Hypervisor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​Virtual machine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Completion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 is a collection of technologies for abstracting the details of how applications, storage, network, and other computing resources are delivered to users.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Cloud computing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domain controller installed in an Active Directory forest is known as the _____________.​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root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root domain controller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forest root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 consists of the virtual environment that emulates a physical computer's hardware and BIOS.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machine​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_____________ is composed of two parts: NIC hardware and device drivers.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interface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​Other than the full GUI interface, the options for a reduced user interface on Windows Server 2012 R2 consist of Server Core and 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Minimal Server Interface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edition of Windows Server 2012 supports 25 or fewer users, and automatically configures itself as a root domain controller?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Essentials Edition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Matching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0"/>
              <w:gridCol w:w="3033"/>
              <w:gridCol w:w="240"/>
              <w:gridCol w:w="2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​Hypervisor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​Network protocol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​Network client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​Server operating systems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​Client access licenses (CALs)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​Domain controller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​Member server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​Virtual machine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​Guest OS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Private cloud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​Software that specifies the rules and format of communication between devices on a network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 license required by law for each user who logs on to a Windows Server 2012 server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virtual environment that emulates a physical computers hardware and BIOS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virtualization software component that creates and monitors the virtual hardware environment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part of the OS that sends requests to a server to access network resources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 cloud computing service provided by a company's internal IT Department.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j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operating system running in a virtual machine installed on a host computer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 Windows server that's in the management scope of a Windows domain but doesn't have Active Directory installed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 Windows server that has Active Directory installed and is responsible for allowing client computers access to domain resources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​OSs designed to emphasize network access performance and run background processes.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Subjective Short Answer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makes PowerShell cmdlets in general different from regular commands?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Cmdlets can be used to manage remote computers and supports the loading of modules, as well as the creation of new cmdlets.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use does the new file system introduced in Windows Server 2012 have?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3"/>
              <w:gridCol w:w="76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The Resilient File System (ReFS) provides reliability for large data storage applications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tool can be utilized to monitor and manage servers running DHCP and DNS, as well as provide automatic discovery of domain controllers, DHCP, and DNS servers?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9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IP Address Management (IPAM)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Remote Access role allows the configuration of what type of remote access?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8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Virtual Private Network (VPN)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file system in Windows Server 2012 supports features such as encryption, file and folder permissions, and compression?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NTFS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specifies the rules and format of communication between network devices?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Network protocol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server that is joined to an Active Directory domain but does not have Active Directory installed is known as?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Member server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ability to assign system policies, deploy software, and assign permissions and rights to users of network resources in a centralized manner is a feature of what Windows Server 2012 R2 service?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Active Directory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file system can be utilized to create a volume that may be compatible with other non-Windows based operating systems?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4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FAT or FAT32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color w:val="000000"/>
        <w:sz w:val="28"/>
        <w:szCs w:val="28"/>
        <w:bdr w:val="nil"/>
        <w:rtl w:val="0"/>
      </w:rPr>
      <w:t>Chapter 01: Introducing Windows Server 2012/R2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Introducing Windows Server 2012/R2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